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9C0" w:rsidRPr="00AE4399" w:rsidRDefault="007A04F3" w:rsidP="007A04F3">
      <w:pPr>
        <w:pStyle w:val="IPCTitle"/>
        <w:ind w:left="0" w:firstLine="0"/>
        <w:rPr>
          <w:sz w:val="52"/>
        </w:rPr>
      </w:pPr>
      <w:r w:rsidRPr="00AE4399">
        <w:rPr>
          <w:sz w:val="52"/>
        </w:rPr>
        <w:t>POLICY:</w:t>
      </w:r>
      <w:r w:rsidRPr="00AE4399">
        <w:rPr>
          <w:sz w:val="52"/>
        </w:rPr>
        <w:br/>
      </w:r>
      <w:r w:rsidR="00BC0D4E" w:rsidRPr="00AE4399">
        <w:rPr>
          <w:sz w:val="52"/>
        </w:rPr>
        <w:t>Safeguarding</w:t>
      </w:r>
    </w:p>
    <w:p w:rsidR="007A04F3" w:rsidRPr="00AE4399" w:rsidRDefault="007A04F3" w:rsidP="007A04F3">
      <w:pPr>
        <w:pStyle w:val="IPCNormal"/>
        <w:rPr>
          <w:sz w:val="22"/>
        </w:rPr>
      </w:pPr>
    </w:p>
    <w:p w:rsidR="007A04F3" w:rsidRPr="00AE4399" w:rsidRDefault="002438D0" w:rsidP="002438D0">
      <w:pPr>
        <w:pStyle w:val="IPCHeading1"/>
        <w:numPr>
          <w:ilvl w:val="0"/>
          <w:numId w:val="7"/>
        </w:numPr>
        <w:rPr>
          <w:sz w:val="28"/>
        </w:rPr>
      </w:pPr>
      <w:r w:rsidRPr="00AE4399">
        <w:rPr>
          <w:sz w:val="28"/>
        </w:rPr>
        <w:t>Purpose</w:t>
      </w:r>
      <w:r w:rsidR="002A62ED" w:rsidRPr="00AE4399">
        <w:rPr>
          <w:sz w:val="28"/>
        </w:rPr>
        <w:t>:</w:t>
      </w:r>
    </w:p>
    <w:p w:rsidR="006A7093" w:rsidRPr="00AE4399" w:rsidRDefault="002438D0" w:rsidP="00630EC8">
      <w:pPr>
        <w:pStyle w:val="IPCNormal"/>
        <w:ind w:left="720"/>
        <w:rPr>
          <w:sz w:val="22"/>
        </w:rPr>
      </w:pPr>
      <w:r w:rsidRPr="00AE4399">
        <w:rPr>
          <w:sz w:val="22"/>
        </w:rPr>
        <w:t>This policy provides details of our Safeguarding practices for the protection of all children and vulnerable adults who come into contact with staff</w:t>
      </w:r>
      <w:r w:rsidR="005146BB" w:rsidRPr="00AE4399">
        <w:rPr>
          <w:sz w:val="22"/>
        </w:rPr>
        <w:t>, councillors, contractors</w:t>
      </w:r>
      <w:r w:rsidRPr="00AE4399">
        <w:rPr>
          <w:sz w:val="22"/>
        </w:rPr>
        <w:t xml:space="preserve"> and volunteers carrying out </w:t>
      </w:r>
      <w:r w:rsidR="005146BB" w:rsidRPr="00AE4399">
        <w:rPr>
          <w:sz w:val="22"/>
        </w:rPr>
        <w:t>council</w:t>
      </w:r>
      <w:r w:rsidRPr="00AE4399">
        <w:rPr>
          <w:sz w:val="22"/>
        </w:rPr>
        <w:t xml:space="preserve"> duties.</w:t>
      </w:r>
    </w:p>
    <w:p w:rsidR="002438D0" w:rsidRPr="00AE4399" w:rsidRDefault="002438D0" w:rsidP="00630EC8">
      <w:pPr>
        <w:pStyle w:val="IPCHeading1"/>
        <w:numPr>
          <w:ilvl w:val="0"/>
          <w:numId w:val="7"/>
        </w:numPr>
        <w:rPr>
          <w:sz w:val="28"/>
        </w:rPr>
      </w:pPr>
      <w:r w:rsidRPr="00AE4399">
        <w:rPr>
          <w:sz w:val="28"/>
        </w:rPr>
        <w:t>Scope:</w:t>
      </w:r>
    </w:p>
    <w:p w:rsidR="00915469" w:rsidRPr="00AE4399" w:rsidRDefault="00915469" w:rsidP="00915469">
      <w:pPr>
        <w:ind w:left="720"/>
        <w:rPr>
          <w:rFonts w:ascii="Arial" w:hAnsi="Arial"/>
          <w:lang w:eastAsia="en-GB"/>
        </w:rPr>
      </w:pPr>
      <w:r w:rsidRPr="00AE4399">
        <w:rPr>
          <w:rFonts w:ascii="Arial" w:hAnsi="Arial"/>
          <w:lang w:eastAsia="en-GB"/>
        </w:rPr>
        <w:t xml:space="preserve">All volunteers, permanent and temporary employees and all associated persons such as contractors, consultants and others employed under a contract for services. In addition this policy will apply to any persons involved with work for or on behalf of the </w:t>
      </w:r>
      <w:r w:rsidR="005146BB" w:rsidRPr="00AE4399">
        <w:rPr>
          <w:rFonts w:ascii="Arial" w:hAnsi="Arial"/>
          <w:lang w:eastAsia="en-GB"/>
        </w:rPr>
        <w:t>council</w:t>
      </w:r>
      <w:r w:rsidRPr="00AE4399">
        <w:rPr>
          <w:rFonts w:ascii="Arial" w:hAnsi="Arial"/>
          <w:lang w:eastAsia="en-GB"/>
        </w:rPr>
        <w:t xml:space="preserve"> in any setting including students and agency workers.</w:t>
      </w:r>
    </w:p>
    <w:p w:rsidR="002438D0" w:rsidRPr="00AE4399" w:rsidRDefault="00915469" w:rsidP="00915469">
      <w:pPr>
        <w:ind w:left="720"/>
        <w:rPr>
          <w:rFonts w:ascii="Arial" w:hAnsi="Arial"/>
          <w:lang w:eastAsia="en-GB"/>
        </w:rPr>
      </w:pPr>
      <w:r w:rsidRPr="00AE4399">
        <w:rPr>
          <w:rFonts w:ascii="Arial" w:hAnsi="Arial"/>
          <w:lang w:eastAsia="en-GB"/>
        </w:rPr>
        <w:t xml:space="preserve">Note: The above will be referred to as </w:t>
      </w:r>
      <w:r w:rsidR="005146BB" w:rsidRPr="00AE4399">
        <w:rPr>
          <w:rFonts w:ascii="Arial" w:hAnsi="Arial"/>
          <w:lang w:eastAsia="en-GB"/>
        </w:rPr>
        <w:t>Council</w:t>
      </w:r>
      <w:r w:rsidRPr="00AE4399">
        <w:rPr>
          <w:rFonts w:ascii="Arial" w:hAnsi="Arial"/>
          <w:lang w:eastAsia="en-GB"/>
        </w:rPr>
        <w:t xml:space="preserve"> representatives throughout this document.</w:t>
      </w:r>
    </w:p>
    <w:p w:rsidR="002D668E" w:rsidRPr="00AE4399" w:rsidRDefault="002438D0" w:rsidP="00630EC8">
      <w:pPr>
        <w:pStyle w:val="IPCHeading1"/>
        <w:numPr>
          <w:ilvl w:val="0"/>
          <w:numId w:val="7"/>
        </w:numPr>
        <w:rPr>
          <w:sz w:val="28"/>
        </w:rPr>
      </w:pPr>
      <w:r w:rsidRPr="00AE4399">
        <w:rPr>
          <w:sz w:val="28"/>
        </w:rPr>
        <w:t>Policy</w:t>
      </w:r>
      <w:r w:rsidR="00915469" w:rsidRPr="00AE4399">
        <w:rPr>
          <w:sz w:val="28"/>
        </w:rPr>
        <w:t xml:space="preserve"> Statement</w:t>
      </w:r>
      <w:r w:rsidR="002D668E" w:rsidRPr="00AE4399">
        <w:rPr>
          <w:sz w:val="28"/>
        </w:rPr>
        <w:t>:</w:t>
      </w:r>
    </w:p>
    <w:p w:rsidR="002D668E" w:rsidRPr="00AE4399" w:rsidRDefault="002D668E" w:rsidP="002D668E">
      <w:pPr>
        <w:ind w:left="720"/>
        <w:rPr>
          <w:rFonts w:ascii="Arial" w:hAnsi="Arial"/>
          <w:lang w:eastAsia="en-GB"/>
        </w:rPr>
      </w:pPr>
      <w:r w:rsidRPr="00AE4399">
        <w:rPr>
          <w:rFonts w:ascii="Arial" w:hAnsi="Arial"/>
          <w:lang w:eastAsia="en-GB"/>
        </w:rPr>
        <w:t>We are committed to ensuring that:</w:t>
      </w:r>
    </w:p>
    <w:p w:rsidR="002D668E" w:rsidRPr="00AE4399" w:rsidRDefault="002D668E" w:rsidP="002D668E">
      <w:pPr>
        <w:pStyle w:val="ListParagraph"/>
        <w:numPr>
          <w:ilvl w:val="0"/>
          <w:numId w:val="22"/>
        </w:numPr>
        <w:rPr>
          <w:rFonts w:ascii="Arial" w:hAnsi="Arial"/>
          <w:lang w:eastAsia="en-GB"/>
        </w:rPr>
      </w:pPr>
      <w:r w:rsidRPr="00AE4399">
        <w:rPr>
          <w:rFonts w:ascii="Arial" w:hAnsi="Arial"/>
          <w:lang w:eastAsia="en-GB"/>
        </w:rPr>
        <w:t>The welfare of the child and vulnerable adult is paramount</w:t>
      </w:r>
      <w:r w:rsidR="00D71552">
        <w:rPr>
          <w:rFonts w:ascii="Arial" w:hAnsi="Arial"/>
          <w:lang w:eastAsia="en-GB"/>
        </w:rPr>
        <w:t>.</w:t>
      </w:r>
    </w:p>
    <w:p w:rsidR="002D668E" w:rsidRPr="00AE4399" w:rsidRDefault="002D668E" w:rsidP="002D668E">
      <w:pPr>
        <w:pStyle w:val="ListParagraph"/>
        <w:numPr>
          <w:ilvl w:val="0"/>
          <w:numId w:val="22"/>
        </w:numPr>
        <w:rPr>
          <w:rFonts w:ascii="Arial" w:hAnsi="Arial"/>
          <w:lang w:eastAsia="en-GB"/>
        </w:rPr>
      </w:pPr>
      <w:r w:rsidRPr="00AE4399">
        <w:rPr>
          <w:rFonts w:ascii="Arial" w:hAnsi="Arial"/>
          <w:lang w:eastAsia="en-GB"/>
        </w:rPr>
        <w:t>All children and vulnerable adults, regardless of age, disability, gender, racial heritage, religious or other belief and sexual orientation or identity have the right to protection from all types of harm and abuse</w:t>
      </w:r>
      <w:r w:rsidR="00D71552">
        <w:rPr>
          <w:rFonts w:ascii="Arial" w:hAnsi="Arial"/>
          <w:lang w:eastAsia="en-GB"/>
        </w:rPr>
        <w:t>.</w:t>
      </w:r>
    </w:p>
    <w:p w:rsidR="002D668E" w:rsidRPr="00AE4399" w:rsidRDefault="002D668E" w:rsidP="002D668E">
      <w:pPr>
        <w:pStyle w:val="ListParagraph"/>
        <w:numPr>
          <w:ilvl w:val="0"/>
          <w:numId w:val="22"/>
        </w:numPr>
        <w:rPr>
          <w:rFonts w:ascii="Arial" w:hAnsi="Arial"/>
          <w:lang w:eastAsia="en-GB"/>
        </w:rPr>
      </w:pPr>
      <w:r w:rsidRPr="00AE4399">
        <w:rPr>
          <w:rFonts w:ascii="Arial" w:hAnsi="Arial"/>
          <w:lang w:eastAsia="en-GB"/>
        </w:rPr>
        <w:t>Working in partnership with children, their parents</w:t>
      </w:r>
      <w:r w:rsidR="00D71552">
        <w:rPr>
          <w:rFonts w:ascii="Arial" w:hAnsi="Arial"/>
          <w:lang w:eastAsia="en-GB"/>
        </w:rPr>
        <w:t>, guardians</w:t>
      </w:r>
      <w:r w:rsidRPr="00AE4399">
        <w:rPr>
          <w:rFonts w:ascii="Arial" w:hAnsi="Arial"/>
          <w:lang w:eastAsia="en-GB"/>
        </w:rPr>
        <w:t>, carers and other agencies is key in</w:t>
      </w:r>
      <w:r w:rsidR="005146BB" w:rsidRPr="00AE4399">
        <w:rPr>
          <w:rFonts w:ascii="Arial" w:hAnsi="Arial"/>
          <w:lang w:eastAsia="en-GB"/>
        </w:rPr>
        <w:t xml:space="preserve"> </w:t>
      </w:r>
      <w:r w:rsidRPr="00AE4399">
        <w:rPr>
          <w:rFonts w:ascii="Arial" w:hAnsi="Arial"/>
          <w:lang w:eastAsia="en-GB"/>
        </w:rPr>
        <w:t>promoting young people’s welfare</w:t>
      </w:r>
      <w:r w:rsidR="00D71552">
        <w:rPr>
          <w:rFonts w:ascii="Arial" w:hAnsi="Arial"/>
          <w:lang w:eastAsia="en-GB"/>
        </w:rPr>
        <w:t>.</w:t>
      </w:r>
    </w:p>
    <w:p w:rsidR="002D668E" w:rsidRPr="00AE4399" w:rsidRDefault="002D668E" w:rsidP="002D668E">
      <w:pPr>
        <w:pStyle w:val="ListParagraph"/>
        <w:numPr>
          <w:ilvl w:val="0"/>
          <w:numId w:val="22"/>
        </w:numPr>
        <w:rPr>
          <w:rFonts w:ascii="Arial" w:hAnsi="Arial"/>
          <w:lang w:eastAsia="en-GB"/>
        </w:rPr>
      </w:pPr>
      <w:r w:rsidRPr="00AE4399">
        <w:rPr>
          <w:rFonts w:ascii="Arial" w:hAnsi="Arial"/>
          <w:lang w:eastAsia="en-GB"/>
        </w:rPr>
        <w:t>All suspicions and allegations of abuse will be taken seriously and responded to swiftly and appropriately</w:t>
      </w:r>
      <w:r w:rsidR="004B28BD" w:rsidRPr="00AE4399">
        <w:rPr>
          <w:rFonts w:ascii="Arial" w:hAnsi="Arial"/>
          <w:lang w:eastAsia="en-GB"/>
        </w:rPr>
        <w:t>.  Sharing concerns with agencies who need to know, and involving parents and children appropriately.</w:t>
      </w:r>
    </w:p>
    <w:p w:rsidR="002D668E" w:rsidRPr="00AE4399" w:rsidRDefault="002D668E" w:rsidP="002D668E">
      <w:pPr>
        <w:pStyle w:val="ListParagraph"/>
        <w:numPr>
          <w:ilvl w:val="0"/>
          <w:numId w:val="22"/>
        </w:numPr>
        <w:rPr>
          <w:rFonts w:ascii="Arial" w:hAnsi="Arial"/>
          <w:lang w:eastAsia="en-GB"/>
        </w:rPr>
      </w:pPr>
      <w:r w:rsidRPr="00AE4399">
        <w:rPr>
          <w:rFonts w:ascii="Arial" w:hAnsi="Arial"/>
          <w:lang w:eastAsia="en-GB"/>
        </w:rPr>
        <w:t>Staff</w:t>
      </w:r>
      <w:r w:rsidR="005146BB" w:rsidRPr="00AE4399">
        <w:rPr>
          <w:rFonts w:ascii="Arial" w:hAnsi="Arial"/>
          <w:lang w:eastAsia="en-GB"/>
        </w:rPr>
        <w:t>, councillors</w:t>
      </w:r>
      <w:r w:rsidRPr="00AE4399">
        <w:rPr>
          <w:rFonts w:ascii="Arial" w:hAnsi="Arial"/>
          <w:lang w:eastAsia="en-GB"/>
        </w:rPr>
        <w:t xml:space="preserve"> and volunteers are aware of safeguarding practices</w:t>
      </w:r>
      <w:r w:rsidR="00D71552">
        <w:rPr>
          <w:rFonts w:ascii="Arial" w:hAnsi="Arial"/>
          <w:lang w:eastAsia="en-GB"/>
        </w:rPr>
        <w:t>.</w:t>
      </w:r>
    </w:p>
    <w:p w:rsidR="002D668E" w:rsidRPr="00AE4399" w:rsidRDefault="006B5B4F" w:rsidP="002D668E">
      <w:pPr>
        <w:spacing w:after="0"/>
        <w:ind w:left="720"/>
        <w:rPr>
          <w:rFonts w:ascii="Arial" w:hAnsi="Arial"/>
          <w:lang w:eastAsia="en-GB"/>
        </w:rPr>
      </w:pPr>
      <w:r w:rsidRPr="00AE4399">
        <w:rPr>
          <w:rFonts w:ascii="Arial" w:hAnsi="Arial"/>
          <w:lang w:eastAsia="en-GB"/>
        </w:rPr>
        <w:t>The</w:t>
      </w:r>
      <w:r w:rsidR="00E556E9" w:rsidRPr="00AE4399">
        <w:rPr>
          <w:rFonts w:ascii="Arial" w:hAnsi="Arial"/>
          <w:lang w:eastAsia="en-GB"/>
        </w:rPr>
        <w:t xml:space="preserve"> Council</w:t>
      </w:r>
      <w:r w:rsidR="002D668E" w:rsidRPr="00AE4399">
        <w:rPr>
          <w:rFonts w:ascii="Arial" w:hAnsi="Arial"/>
          <w:lang w:eastAsia="en-GB"/>
        </w:rPr>
        <w:t xml:space="preserve"> has an increasing number of activities that</w:t>
      </w:r>
      <w:r w:rsidR="00E556E9" w:rsidRPr="00AE4399">
        <w:rPr>
          <w:rFonts w:ascii="Arial" w:hAnsi="Arial"/>
          <w:lang w:eastAsia="en-GB"/>
        </w:rPr>
        <w:t xml:space="preserve"> may</w:t>
      </w:r>
      <w:r w:rsidR="002D668E" w:rsidRPr="00AE4399">
        <w:rPr>
          <w:rFonts w:ascii="Arial" w:hAnsi="Arial"/>
          <w:lang w:eastAsia="en-GB"/>
        </w:rPr>
        <w:t xml:space="preserve"> involve children and / or vulnerable adults. These</w:t>
      </w:r>
      <w:r w:rsidR="00E556E9" w:rsidRPr="00AE4399">
        <w:rPr>
          <w:rFonts w:ascii="Arial" w:hAnsi="Arial"/>
          <w:lang w:eastAsia="en-GB"/>
        </w:rPr>
        <w:t xml:space="preserve"> include but are not limited to litter picking, community gardening and award schemes</w:t>
      </w:r>
      <w:r w:rsidR="002D668E" w:rsidRPr="00AE4399">
        <w:rPr>
          <w:rFonts w:ascii="Arial" w:hAnsi="Arial"/>
          <w:lang w:eastAsia="en-GB"/>
        </w:rPr>
        <w:t>.</w:t>
      </w:r>
    </w:p>
    <w:p w:rsidR="002D668E" w:rsidRPr="00AE4399" w:rsidRDefault="002D668E" w:rsidP="002D668E">
      <w:pPr>
        <w:spacing w:after="0"/>
        <w:ind w:left="720"/>
        <w:rPr>
          <w:rFonts w:ascii="Arial" w:hAnsi="Arial"/>
          <w:lang w:eastAsia="en-GB"/>
        </w:rPr>
      </w:pPr>
    </w:p>
    <w:p w:rsidR="002D668E" w:rsidRPr="00AE4399" w:rsidRDefault="006B5B4F" w:rsidP="002D668E">
      <w:pPr>
        <w:spacing w:after="0"/>
        <w:ind w:left="720"/>
        <w:rPr>
          <w:rFonts w:ascii="Arial" w:hAnsi="Arial"/>
          <w:lang w:eastAsia="en-GB"/>
        </w:rPr>
      </w:pPr>
      <w:r w:rsidRPr="00AE4399">
        <w:rPr>
          <w:rFonts w:ascii="Arial" w:hAnsi="Arial"/>
          <w:lang w:eastAsia="en-GB"/>
        </w:rPr>
        <w:t>The</w:t>
      </w:r>
      <w:r w:rsidR="00E556E9" w:rsidRPr="00AE4399">
        <w:rPr>
          <w:rFonts w:ascii="Arial" w:hAnsi="Arial"/>
          <w:lang w:eastAsia="en-GB"/>
        </w:rPr>
        <w:t xml:space="preserve"> Council</w:t>
      </w:r>
      <w:r w:rsidR="002D668E" w:rsidRPr="00AE4399">
        <w:rPr>
          <w:rFonts w:ascii="Arial" w:hAnsi="Arial"/>
          <w:lang w:eastAsia="en-GB"/>
        </w:rPr>
        <w:t xml:space="preserve"> welcomes and encourages children and vulnerable adults to participate in our activities</w:t>
      </w:r>
      <w:r w:rsidR="00E556E9" w:rsidRPr="00AE4399">
        <w:rPr>
          <w:rFonts w:ascii="Arial" w:hAnsi="Arial"/>
          <w:lang w:eastAsia="en-GB"/>
        </w:rPr>
        <w:t xml:space="preserve"> and schemes</w:t>
      </w:r>
      <w:r w:rsidR="002D668E" w:rsidRPr="00AE4399">
        <w:rPr>
          <w:rFonts w:ascii="Arial" w:hAnsi="Arial"/>
          <w:lang w:eastAsia="en-GB"/>
        </w:rPr>
        <w:t xml:space="preserve"> and is fully committed to their safety and </w:t>
      </w:r>
      <w:r w:rsidR="00E556E9" w:rsidRPr="00AE4399">
        <w:rPr>
          <w:rFonts w:ascii="Arial" w:hAnsi="Arial"/>
          <w:lang w:eastAsia="en-GB"/>
        </w:rPr>
        <w:t>wellbeing</w:t>
      </w:r>
      <w:r w:rsidR="002D668E" w:rsidRPr="00AE4399">
        <w:rPr>
          <w:rFonts w:ascii="Arial" w:hAnsi="Arial"/>
          <w:lang w:eastAsia="en-GB"/>
        </w:rPr>
        <w:t xml:space="preserve">. Children and vulnerable adults are involved in the </w:t>
      </w:r>
      <w:r w:rsidR="00E556E9" w:rsidRPr="00AE4399">
        <w:rPr>
          <w:rFonts w:ascii="Arial" w:hAnsi="Arial"/>
          <w:lang w:eastAsia="en-GB"/>
        </w:rPr>
        <w:t>Councils</w:t>
      </w:r>
      <w:r w:rsidR="002D668E" w:rsidRPr="00AE4399">
        <w:rPr>
          <w:rFonts w:ascii="Arial" w:hAnsi="Arial"/>
          <w:lang w:eastAsia="en-GB"/>
        </w:rPr>
        <w:t xml:space="preserve"> activities at many levels and the </w:t>
      </w:r>
      <w:r w:rsidRPr="00AE4399">
        <w:rPr>
          <w:rFonts w:ascii="Arial" w:hAnsi="Arial"/>
          <w:lang w:eastAsia="en-GB"/>
        </w:rPr>
        <w:t>council</w:t>
      </w:r>
      <w:r w:rsidR="002D668E" w:rsidRPr="00AE4399">
        <w:rPr>
          <w:rFonts w:ascii="Arial" w:hAnsi="Arial"/>
          <w:lang w:eastAsia="en-GB"/>
        </w:rPr>
        <w:t xml:space="preserve"> therefore has a duty of care for </w:t>
      </w:r>
      <w:r w:rsidRPr="00AE4399">
        <w:rPr>
          <w:rFonts w:ascii="Arial" w:hAnsi="Arial"/>
          <w:lang w:eastAsia="en-GB"/>
        </w:rPr>
        <w:t>those who take part</w:t>
      </w:r>
      <w:r w:rsidR="00854C00" w:rsidRPr="00AE4399">
        <w:rPr>
          <w:rFonts w:ascii="Arial" w:hAnsi="Arial"/>
          <w:lang w:eastAsia="en-GB"/>
        </w:rPr>
        <w:t xml:space="preserve"> or receive services from the council</w:t>
      </w:r>
      <w:r w:rsidR="002D668E" w:rsidRPr="00AE4399">
        <w:rPr>
          <w:rFonts w:ascii="Arial" w:hAnsi="Arial"/>
          <w:lang w:eastAsia="en-GB"/>
        </w:rPr>
        <w:t>.</w:t>
      </w:r>
    </w:p>
    <w:p w:rsidR="002D668E" w:rsidRPr="00AE4399" w:rsidRDefault="002D668E" w:rsidP="002D668E">
      <w:pPr>
        <w:spacing w:after="0"/>
        <w:ind w:left="720"/>
        <w:rPr>
          <w:rFonts w:ascii="Arial" w:hAnsi="Arial"/>
          <w:lang w:eastAsia="en-GB"/>
        </w:rPr>
      </w:pPr>
    </w:p>
    <w:p w:rsidR="002D668E" w:rsidRPr="00AE4399" w:rsidRDefault="002D668E" w:rsidP="002D668E">
      <w:pPr>
        <w:spacing w:after="0"/>
        <w:ind w:left="720"/>
        <w:rPr>
          <w:rFonts w:ascii="Arial" w:hAnsi="Arial"/>
          <w:lang w:eastAsia="en-GB"/>
        </w:rPr>
      </w:pPr>
      <w:r w:rsidRPr="00AE4399">
        <w:rPr>
          <w:rFonts w:ascii="Arial" w:hAnsi="Arial"/>
          <w:lang w:eastAsia="en-GB"/>
        </w:rPr>
        <w:t>Children and vulnerable adults have a right to be safe and feel secu</w:t>
      </w:r>
      <w:r w:rsidR="006B5B4F" w:rsidRPr="00AE4399">
        <w:rPr>
          <w:rFonts w:ascii="Arial" w:hAnsi="Arial"/>
          <w:lang w:eastAsia="en-GB"/>
        </w:rPr>
        <w:t xml:space="preserve">re in the activities and schemes that they and </w:t>
      </w:r>
      <w:r w:rsidRPr="00AE4399">
        <w:rPr>
          <w:rFonts w:ascii="Arial" w:hAnsi="Arial"/>
          <w:lang w:eastAsia="en-GB"/>
        </w:rPr>
        <w:t>their parents</w:t>
      </w:r>
      <w:r w:rsidR="006B5B4F" w:rsidRPr="00AE4399">
        <w:rPr>
          <w:rFonts w:ascii="Arial" w:hAnsi="Arial"/>
          <w:lang w:eastAsia="en-GB"/>
        </w:rPr>
        <w:t>, guardians</w:t>
      </w:r>
      <w:r w:rsidRPr="00AE4399">
        <w:rPr>
          <w:rFonts w:ascii="Arial" w:hAnsi="Arial"/>
          <w:lang w:eastAsia="en-GB"/>
        </w:rPr>
        <w:t xml:space="preserve"> or carers, choose </w:t>
      </w:r>
      <w:r w:rsidR="006B5B4F" w:rsidRPr="00AE4399">
        <w:rPr>
          <w:rFonts w:ascii="Arial" w:hAnsi="Arial"/>
          <w:lang w:eastAsia="en-GB"/>
        </w:rPr>
        <w:t>to take part in</w:t>
      </w:r>
      <w:r w:rsidRPr="00AE4399">
        <w:rPr>
          <w:rFonts w:ascii="Arial" w:hAnsi="Arial"/>
          <w:lang w:eastAsia="en-GB"/>
        </w:rPr>
        <w:t>.</w:t>
      </w:r>
    </w:p>
    <w:p w:rsidR="002D668E" w:rsidRPr="00AE4399" w:rsidRDefault="002D668E" w:rsidP="002D668E">
      <w:pPr>
        <w:spacing w:after="0"/>
        <w:ind w:left="720"/>
        <w:rPr>
          <w:rFonts w:ascii="Arial" w:hAnsi="Arial"/>
          <w:lang w:eastAsia="en-GB"/>
        </w:rPr>
      </w:pPr>
    </w:p>
    <w:p w:rsidR="002D668E" w:rsidRPr="00AE4399" w:rsidRDefault="006B5B4F" w:rsidP="002D668E">
      <w:pPr>
        <w:spacing w:after="0"/>
        <w:ind w:left="720"/>
        <w:rPr>
          <w:rFonts w:ascii="Arial" w:hAnsi="Arial"/>
          <w:lang w:eastAsia="en-GB"/>
        </w:rPr>
      </w:pPr>
      <w:r w:rsidRPr="00AE4399">
        <w:rPr>
          <w:rFonts w:ascii="Arial" w:hAnsi="Arial"/>
          <w:lang w:eastAsia="en-GB"/>
        </w:rPr>
        <w:t>The council</w:t>
      </w:r>
      <w:r w:rsidR="002D668E" w:rsidRPr="00AE4399">
        <w:rPr>
          <w:rFonts w:ascii="Arial" w:hAnsi="Arial"/>
          <w:lang w:eastAsia="en-GB"/>
        </w:rPr>
        <w:t xml:space="preserve"> believes that it is always unacceptable for a child and / or vulnerable adult (and indeed anyone) to experience abuse of any kind and recognises its responsibility to safeguard the welfare of all children and vulnerable adults by commitment to a practice which protects them from harm.</w:t>
      </w:r>
    </w:p>
    <w:p w:rsidR="006B5B4F" w:rsidRPr="00AE4399" w:rsidRDefault="006B5B4F" w:rsidP="002D668E">
      <w:pPr>
        <w:spacing w:after="0"/>
        <w:ind w:left="720"/>
        <w:rPr>
          <w:rFonts w:ascii="Arial" w:hAnsi="Arial"/>
          <w:lang w:eastAsia="en-GB"/>
        </w:rPr>
      </w:pPr>
      <w:bookmarkStart w:id="0" w:name="_GoBack"/>
      <w:bookmarkEnd w:id="0"/>
    </w:p>
    <w:p w:rsidR="001379DC" w:rsidRPr="00AE4399" w:rsidRDefault="006B5B4F" w:rsidP="001379DC">
      <w:pPr>
        <w:pStyle w:val="IPCHeading1"/>
        <w:numPr>
          <w:ilvl w:val="0"/>
          <w:numId w:val="7"/>
        </w:numPr>
        <w:rPr>
          <w:sz w:val="28"/>
          <w:lang w:eastAsia="en-GB"/>
        </w:rPr>
      </w:pPr>
      <w:r w:rsidRPr="00AE4399">
        <w:rPr>
          <w:sz w:val="28"/>
          <w:lang w:eastAsia="en-GB"/>
        </w:rPr>
        <w:lastRenderedPageBreak/>
        <w:t>What is Safeguarding</w:t>
      </w:r>
      <w:r w:rsidR="001379DC" w:rsidRPr="00AE4399">
        <w:rPr>
          <w:sz w:val="28"/>
          <w:lang w:eastAsia="en-GB"/>
        </w:rPr>
        <w:t>?</w:t>
      </w:r>
    </w:p>
    <w:p w:rsidR="002B6C14" w:rsidRPr="00AE4399" w:rsidRDefault="001379DC" w:rsidP="001379DC">
      <w:pPr>
        <w:pStyle w:val="IPCHeading1"/>
        <w:numPr>
          <w:ilvl w:val="1"/>
          <w:numId w:val="7"/>
        </w:numPr>
        <w:rPr>
          <w:sz w:val="28"/>
          <w:lang w:eastAsia="en-GB"/>
        </w:rPr>
      </w:pPr>
      <w:r w:rsidRPr="00AE4399">
        <w:rPr>
          <w:sz w:val="28"/>
          <w:lang w:eastAsia="en-GB"/>
        </w:rPr>
        <w:t>Legislation</w:t>
      </w:r>
    </w:p>
    <w:p w:rsidR="002B6C14" w:rsidRPr="00AE4399" w:rsidRDefault="002B6C14" w:rsidP="002B6C14">
      <w:pPr>
        <w:pStyle w:val="IPCNormal"/>
        <w:ind w:left="1440"/>
        <w:rPr>
          <w:sz w:val="22"/>
        </w:rPr>
      </w:pPr>
      <w:r w:rsidRPr="00AE4399">
        <w:rPr>
          <w:sz w:val="22"/>
        </w:rPr>
        <w:t xml:space="preserve">The legal duty to safeguard children and vulnerable adults is set out in the Safeguarding Vulnerable Groups Act </w:t>
      </w:r>
      <w:r w:rsidR="0040405E" w:rsidRPr="00AE4399">
        <w:rPr>
          <w:sz w:val="22"/>
        </w:rPr>
        <w:t>2006 (England and Wales)</w:t>
      </w:r>
      <w:r w:rsidRPr="00AE4399">
        <w:rPr>
          <w:sz w:val="22"/>
        </w:rPr>
        <w:t>. The general obligation to safeguard children (and the same principles would extend to vulnerable adults) is set out in the Joint Chief Inspectors Report on Arrangements to Safeguarding Children (2002). This defines safeguarding as:</w:t>
      </w:r>
    </w:p>
    <w:p w:rsidR="002B6C14" w:rsidRPr="00AE4399" w:rsidRDefault="002B6C14" w:rsidP="0040405E">
      <w:pPr>
        <w:pStyle w:val="IPCNormal"/>
        <w:ind w:left="2160"/>
        <w:rPr>
          <w:b/>
          <w:sz w:val="22"/>
        </w:rPr>
      </w:pPr>
      <w:r w:rsidRPr="00AE4399">
        <w:rPr>
          <w:b/>
          <w:sz w:val="22"/>
        </w:rPr>
        <w:t xml:space="preserve">“Agencies and organisations working with children and young people (should) take all reasonable measures to ensure that the risks of harm to the individuals welfare are minimised; and where there are concerns about children and young </w:t>
      </w:r>
      <w:proofErr w:type="spellStart"/>
      <w:r w:rsidRPr="00AE4399">
        <w:rPr>
          <w:b/>
          <w:sz w:val="22"/>
        </w:rPr>
        <w:t>peoples</w:t>
      </w:r>
      <w:proofErr w:type="spellEnd"/>
      <w:r w:rsidRPr="00AE4399">
        <w:rPr>
          <w:b/>
          <w:sz w:val="22"/>
        </w:rPr>
        <w:t xml:space="preserve"> welfare all agencies (and organisations) take all appropriate actions to address those concerns, working to agreed local policies and procedures, working in partnership with other local agencies”</w:t>
      </w:r>
    </w:p>
    <w:p w:rsidR="002B6C14" w:rsidRPr="00AE4399" w:rsidRDefault="002B6C14" w:rsidP="002B6C14">
      <w:pPr>
        <w:pStyle w:val="IPCNormal"/>
        <w:ind w:left="1440"/>
        <w:rPr>
          <w:sz w:val="22"/>
        </w:rPr>
      </w:pPr>
      <w:r w:rsidRPr="00AE4399">
        <w:rPr>
          <w:sz w:val="22"/>
        </w:rPr>
        <w:t>A child is defined as a person under the age of 18 years (The Children Act 1989).</w:t>
      </w:r>
    </w:p>
    <w:p w:rsidR="002B6C14" w:rsidRPr="00AE4399" w:rsidRDefault="002B6C14" w:rsidP="002B6C14">
      <w:pPr>
        <w:pStyle w:val="IPCNormal"/>
        <w:ind w:left="1440"/>
        <w:rPr>
          <w:sz w:val="22"/>
        </w:rPr>
      </w:pPr>
      <w:r w:rsidRPr="00AE4399">
        <w:rPr>
          <w:sz w:val="22"/>
        </w:rPr>
        <w:t>A vulnerable adult is someone over the age of 18 who is “in need of community care services by reasons of mental health or other disability, age or illness” and “is or may be unable to take care of him or herself, or is unable to protect him or herself against significant harm or exploitation”. It should be noted that disability or age alone does not signify that an adult is vulnerable.</w:t>
      </w:r>
    </w:p>
    <w:p w:rsidR="005A172A" w:rsidRPr="001E1B2C" w:rsidRDefault="005A172A" w:rsidP="002B6C14">
      <w:pPr>
        <w:pStyle w:val="IPCNormal"/>
        <w:ind w:left="1440"/>
        <w:rPr>
          <w:b/>
          <w:sz w:val="22"/>
        </w:rPr>
      </w:pPr>
      <w:r w:rsidRPr="001E1B2C">
        <w:rPr>
          <w:b/>
          <w:sz w:val="22"/>
        </w:rPr>
        <w:t>Other Legislation:</w:t>
      </w:r>
    </w:p>
    <w:p w:rsidR="001E1B2C" w:rsidRDefault="001E1B2C" w:rsidP="005A172A">
      <w:pPr>
        <w:pStyle w:val="IPCNormal"/>
        <w:numPr>
          <w:ilvl w:val="0"/>
          <w:numId w:val="25"/>
        </w:numPr>
        <w:spacing w:after="0"/>
        <w:rPr>
          <w:sz w:val="22"/>
        </w:rPr>
        <w:sectPr w:rsidR="001E1B2C" w:rsidSect="0074471A">
          <w:headerReference w:type="default" r:id="rId8"/>
          <w:footerReference w:type="default" r:id="rId9"/>
          <w:pgSz w:w="11906" w:h="16838"/>
          <w:pgMar w:top="1440" w:right="720" w:bottom="1134" w:left="720" w:header="709" w:footer="192" w:gutter="0"/>
          <w:cols w:space="708"/>
          <w:docGrid w:linePitch="360"/>
        </w:sectPr>
      </w:pPr>
    </w:p>
    <w:p w:rsidR="005A172A" w:rsidRPr="00AE4399" w:rsidRDefault="005A172A" w:rsidP="001E1B2C">
      <w:pPr>
        <w:pStyle w:val="IPCNormal"/>
        <w:numPr>
          <w:ilvl w:val="0"/>
          <w:numId w:val="25"/>
        </w:numPr>
        <w:spacing w:after="0"/>
        <w:ind w:left="1843"/>
        <w:rPr>
          <w:sz w:val="22"/>
        </w:rPr>
      </w:pPr>
      <w:r w:rsidRPr="00AE4399">
        <w:rPr>
          <w:sz w:val="22"/>
        </w:rPr>
        <w:t>The Children Act 1989</w:t>
      </w:r>
    </w:p>
    <w:p w:rsidR="005A172A" w:rsidRPr="00AE4399" w:rsidRDefault="005A172A" w:rsidP="001E1B2C">
      <w:pPr>
        <w:pStyle w:val="IPCNormal"/>
        <w:numPr>
          <w:ilvl w:val="0"/>
          <w:numId w:val="25"/>
        </w:numPr>
        <w:spacing w:after="0"/>
        <w:ind w:left="1843"/>
        <w:rPr>
          <w:sz w:val="22"/>
        </w:rPr>
      </w:pPr>
      <w:r w:rsidRPr="00AE4399">
        <w:rPr>
          <w:sz w:val="22"/>
        </w:rPr>
        <w:t>Data Protection Act 1998</w:t>
      </w:r>
    </w:p>
    <w:p w:rsidR="005A172A" w:rsidRPr="00AE4399" w:rsidRDefault="005A172A" w:rsidP="001E1B2C">
      <w:pPr>
        <w:pStyle w:val="IPCNormal"/>
        <w:numPr>
          <w:ilvl w:val="0"/>
          <w:numId w:val="25"/>
        </w:numPr>
        <w:spacing w:after="0"/>
        <w:ind w:left="1843"/>
        <w:rPr>
          <w:sz w:val="22"/>
        </w:rPr>
      </w:pPr>
      <w:r w:rsidRPr="00AE4399">
        <w:rPr>
          <w:sz w:val="22"/>
        </w:rPr>
        <w:t>Sexual Offences Act 2003</w:t>
      </w:r>
    </w:p>
    <w:p w:rsidR="005A172A" w:rsidRPr="00AE4399" w:rsidRDefault="005A172A" w:rsidP="001E1B2C">
      <w:pPr>
        <w:pStyle w:val="IPCNormal"/>
        <w:numPr>
          <w:ilvl w:val="0"/>
          <w:numId w:val="25"/>
        </w:numPr>
        <w:spacing w:after="0"/>
        <w:ind w:left="1843"/>
        <w:rPr>
          <w:sz w:val="22"/>
        </w:rPr>
      </w:pPr>
      <w:r w:rsidRPr="00AE4399">
        <w:rPr>
          <w:sz w:val="22"/>
        </w:rPr>
        <w:t>The Children Act 2004</w:t>
      </w:r>
    </w:p>
    <w:p w:rsidR="005A172A" w:rsidRPr="00AE4399" w:rsidRDefault="005A172A" w:rsidP="001E1B2C">
      <w:pPr>
        <w:pStyle w:val="IPCNormal"/>
        <w:numPr>
          <w:ilvl w:val="0"/>
          <w:numId w:val="25"/>
        </w:numPr>
        <w:spacing w:after="0"/>
        <w:ind w:left="1843"/>
        <w:rPr>
          <w:sz w:val="22"/>
        </w:rPr>
      </w:pPr>
      <w:r w:rsidRPr="00AE4399">
        <w:rPr>
          <w:sz w:val="22"/>
        </w:rPr>
        <w:t>Protection of Freedoms Act 2012</w:t>
      </w:r>
    </w:p>
    <w:p w:rsidR="001E1B2C" w:rsidRPr="00AE4399" w:rsidRDefault="001E1B2C" w:rsidP="001E1B2C">
      <w:pPr>
        <w:pStyle w:val="IPCNormal"/>
        <w:numPr>
          <w:ilvl w:val="0"/>
          <w:numId w:val="25"/>
        </w:numPr>
        <w:spacing w:after="0"/>
        <w:ind w:left="426"/>
        <w:rPr>
          <w:sz w:val="22"/>
        </w:rPr>
      </w:pPr>
      <w:r w:rsidRPr="00AE4399">
        <w:rPr>
          <w:sz w:val="22"/>
        </w:rPr>
        <w:t>United Convention of the Rights of the Child 1991</w:t>
      </w:r>
    </w:p>
    <w:p w:rsidR="005A172A" w:rsidRPr="00AE4399" w:rsidRDefault="005A172A" w:rsidP="001E1B2C">
      <w:pPr>
        <w:pStyle w:val="IPCNormal"/>
        <w:numPr>
          <w:ilvl w:val="0"/>
          <w:numId w:val="25"/>
        </w:numPr>
        <w:spacing w:after="0"/>
        <w:ind w:left="426"/>
        <w:rPr>
          <w:sz w:val="22"/>
        </w:rPr>
      </w:pPr>
      <w:r w:rsidRPr="00AE4399">
        <w:rPr>
          <w:sz w:val="22"/>
        </w:rPr>
        <w:t>Relevant Government guidance on safeguarding children</w:t>
      </w:r>
    </w:p>
    <w:p w:rsidR="001E1B2C" w:rsidRDefault="001E1B2C">
      <w:pPr>
        <w:rPr>
          <w:sz w:val="20"/>
          <w:lang w:eastAsia="en-GB"/>
        </w:rPr>
        <w:sectPr w:rsidR="001E1B2C" w:rsidSect="001E1B2C">
          <w:type w:val="continuous"/>
          <w:pgSz w:w="11906" w:h="16838"/>
          <w:pgMar w:top="1440" w:right="720" w:bottom="1134" w:left="720" w:header="709" w:footer="192" w:gutter="0"/>
          <w:cols w:num="2" w:space="568"/>
          <w:docGrid w:linePitch="360"/>
        </w:sectPr>
      </w:pPr>
    </w:p>
    <w:p w:rsidR="005A172A" w:rsidRPr="00AE4399" w:rsidRDefault="005A172A">
      <w:pPr>
        <w:rPr>
          <w:sz w:val="20"/>
          <w:lang w:eastAsia="en-GB"/>
        </w:rPr>
      </w:pPr>
    </w:p>
    <w:p w:rsidR="002D668E" w:rsidRPr="00AE4399" w:rsidRDefault="005A172A" w:rsidP="005A172A">
      <w:pPr>
        <w:pStyle w:val="IPCHeading1"/>
        <w:numPr>
          <w:ilvl w:val="1"/>
          <w:numId w:val="7"/>
        </w:numPr>
        <w:rPr>
          <w:sz w:val="28"/>
        </w:rPr>
      </w:pPr>
      <w:r w:rsidRPr="00AE4399">
        <w:rPr>
          <w:sz w:val="28"/>
        </w:rPr>
        <w:t>Definitions of Abuse</w:t>
      </w:r>
    </w:p>
    <w:p w:rsidR="00E2149D" w:rsidRPr="00AE4399" w:rsidRDefault="00E2149D" w:rsidP="00E2149D">
      <w:pPr>
        <w:pStyle w:val="IPCNormal"/>
        <w:ind w:left="1440"/>
        <w:rPr>
          <w:sz w:val="22"/>
        </w:rPr>
      </w:pPr>
      <w:r w:rsidRPr="00AE4399">
        <w:rPr>
          <w:sz w:val="22"/>
        </w:rPr>
        <w:t>Abuse is a phrase that describes ways in which children / vulnerable adults are harmed in a physical or psychological manner.  Abuse can be broadly separated into five categories:</w:t>
      </w:r>
    </w:p>
    <w:tbl>
      <w:tblPr>
        <w:tblW w:w="0" w:type="auto"/>
        <w:tblInd w:w="152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1"/>
        <w:gridCol w:w="6771"/>
      </w:tblGrid>
      <w:tr w:rsidR="005A172A" w:rsidRPr="00AE4399" w:rsidTr="00AE4399">
        <w:trPr>
          <w:trHeight w:val="365"/>
        </w:trPr>
        <w:tc>
          <w:tcPr>
            <w:tcW w:w="1701" w:type="dxa"/>
            <w:tcBorders>
              <w:top w:val="single" w:sz="8" w:space="0" w:color="000000"/>
              <w:bottom w:val="single" w:sz="8" w:space="0" w:color="000000"/>
              <w:right w:val="single" w:sz="8" w:space="0" w:color="000000"/>
            </w:tcBorders>
            <w:shd w:val="clear" w:color="auto" w:fill="FFFFFF"/>
            <w:vAlign w:val="center"/>
          </w:tcPr>
          <w:p w:rsidR="005A172A" w:rsidRPr="00AE4399" w:rsidRDefault="005A172A" w:rsidP="005A172A">
            <w:pPr>
              <w:pStyle w:val="IPCNormal"/>
              <w:spacing w:after="0"/>
              <w:jc w:val="center"/>
              <w:rPr>
                <w:b/>
                <w:bCs/>
                <w:sz w:val="22"/>
              </w:rPr>
            </w:pPr>
            <w:r w:rsidRPr="00AE4399">
              <w:rPr>
                <w:b/>
                <w:bCs/>
                <w:sz w:val="22"/>
              </w:rPr>
              <w:t>Term</w:t>
            </w:r>
          </w:p>
        </w:tc>
        <w:tc>
          <w:tcPr>
            <w:tcW w:w="6771" w:type="dxa"/>
            <w:tcBorders>
              <w:top w:val="single" w:sz="8" w:space="0" w:color="000000"/>
              <w:left w:val="single" w:sz="8" w:space="0" w:color="000000"/>
              <w:bottom w:val="single" w:sz="8" w:space="0" w:color="000000"/>
            </w:tcBorders>
            <w:shd w:val="clear" w:color="auto" w:fill="FFFFFF"/>
            <w:vAlign w:val="center"/>
          </w:tcPr>
          <w:p w:rsidR="005A172A" w:rsidRPr="00AE4399" w:rsidRDefault="005A172A" w:rsidP="005A172A">
            <w:pPr>
              <w:pStyle w:val="IPCNormal"/>
              <w:spacing w:after="0"/>
              <w:jc w:val="center"/>
              <w:rPr>
                <w:sz w:val="22"/>
              </w:rPr>
            </w:pPr>
            <w:r w:rsidRPr="00AE4399">
              <w:rPr>
                <w:b/>
                <w:bCs/>
                <w:sz w:val="22"/>
              </w:rPr>
              <w:t>Definition</w:t>
            </w:r>
          </w:p>
        </w:tc>
      </w:tr>
      <w:tr w:rsidR="005A172A" w:rsidRPr="00AE4399" w:rsidTr="00AE4399">
        <w:trPr>
          <w:trHeight w:val="283"/>
        </w:trPr>
        <w:tc>
          <w:tcPr>
            <w:tcW w:w="1701" w:type="dxa"/>
            <w:tcBorders>
              <w:top w:val="single" w:sz="8" w:space="0" w:color="000000"/>
              <w:bottom w:val="single" w:sz="8" w:space="0" w:color="000000"/>
              <w:right w:val="single" w:sz="8" w:space="0" w:color="000000"/>
            </w:tcBorders>
          </w:tcPr>
          <w:p w:rsidR="005A172A" w:rsidRPr="00AE4399" w:rsidRDefault="00E2149D" w:rsidP="00E2149D">
            <w:pPr>
              <w:pStyle w:val="IPCNormal"/>
              <w:spacing w:after="0"/>
              <w:rPr>
                <w:sz w:val="22"/>
              </w:rPr>
            </w:pPr>
            <w:r w:rsidRPr="00AE4399">
              <w:rPr>
                <w:sz w:val="22"/>
              </w:rPr>
              <w:t>Physical abuse/injury</w:t>
            </w:r>
          </w:p>
        </w:tc>
        <w:tc>
          <w:tcPr>
            <w:tcW w:w="6771" w:type="dxa"/>
            <w:tcBorders>
              <w:top w:val="single" w:sz="8" w:space="0" w:color="000000"/>
              <w:left w:val="single" w:sz="8" w:space="0" w:color="000000"/>
              <w:bottom w:val="single" w:sz="8" w:space="0" w:color="000000"/>
            </w:tcBorders>
          </w:tcPr>
          <w:p w:rsidR="005A172A" w:rsidRPr="00AE4399" w:rsidRDefault="00E2149D" w:rsidP="004B28BD">
            <w:pPr>
              <w:pStyle w:val="IPCNormal"/>
              <w:spacing w:after="0"/>
              <w:rPr>
                <w:sz w:val="22"/>
              </w:rPr>
            </w:pPr>
            <w:r w:rsidRPr="00AE4399">
              <w:rPr>
                <w:sz w:val="22"/>
              </w:rPr>
              <w:t>Physical abuse may involve hitting, shaking, throwing, poisoning, burning, drowning or suffocating. Physical harm may also be caused when a parent or carer feigns the</w:t>
            </w:r>
            <w:r w:rsidR="004B28BD" w:rsidRPr="00AE4399">
              <w:rPr>
                <w:sz w:val="22"/>
              </w:rPr>
              <w:t xml:space="preserve"> </w:t>
            </w:r>
            <w:r w:rsidRPr="00AE4399">
              <w:rPr>
                <w:sz w:val="22"/>
              </w:rPr>
              <w:t>symptoms of or deliberately causes ill health to a child / vulnerable adult they are looking</w:t>
            </w:r>
            <w:r w:rsidR="004B28BD" w:rsidRPr="00AE4399">
              <w:rPr>
                <w:sz w:val="22"/>
              </w:rPr>
              <w:t xml:space="preserve"> </w:t>
            </w:r>
            <w:r w:rsidRPr="00AE4399">
              <w:rPr>
                <w:sz w:val="22"/>
              </w:rPr>
              <w:t>after. Physical abuse, as well as being the result of a deliberate act, can also be caused through omission or the failure to act to protect</w:t>
            </w:r>
          </w:p>
        </w:tc>
      </w:tr>
      <w:tr w:rsidR="005A172A" w:rsidRPr="00AE4399" w:rsidTr="00AE4399">
        <w:trPr>
          <w:trHeight w:val="283"/>
        </w:trPr>
        <w:tc>
          <w:tcPr>
            <w:tcW w:w="1701" w:type="dxa"/>
            <w:tcBorders>
              <w:top w:val="single" w:sz="8" w:space="0" w:color="000000"/>
              <w:bottom w:val="single" w:sz="8" w:space="0" w:color="000000"/>
              <w:right w:val="single" w:sz="8" w:space="0" w:color="000000"/>
            </w:tcBorders>
          </w:tcPr>
          <w:p w:rsidR="005A172A" w:rsidRPr="00AE4399" w:rsidRDefault="00E2149D" w:rsidP="00E2149D">
            <w:pPr>
              <w:pStyle w:val="IPCNormal"/>
              <w:spacing w:after="0"/>
              <w:rPr>
                <w:sz w:val="22"/>
              </w:rPr>
            </w:pPr>
            <w:r w:rsidRPr="00AE4399">
              <w:rPr>
                <w:sz w:val="22"/>
              </w:rPr>
              <w:t>Neglect</w:t>
            </w:r>
          </w:p>
        </w:tc>
        <w:tc>
          <w:tcPr>
            <w:tcW w:w="6771" w:type="dxa"/>
            <w:tcBorders>
              <w:top w:val="single" w:sz="8" w:space="0" w:color="000000"/>
              <w:left w:val="single" w:sz="8" w:space="0" w:color="000000"/>
              <w:bottom w:val="single" w:sz="8" w:space="0" w:color="000000"/>
            </w:tcBorders>
          </w:tcPr>
          <w:p w:rsidR="005A172A" w:rsidRPr="00AE4399" w:rsidRDefault="00E2149D" w:rsidP="004B28BD">
            <w:pPr>
              <w:pStyle w:val="IPCNormal"/>
              <w:spacing w:after="0"/>
              <w:rPr>
                <w:sz w:val="22"/>
              </w:rPr>
            </w:pPr>
            <w:r w:rsidRPr="00AE4399">
              <w:rPr>
                <w:sz w:val="22"/>
              </w:rPr>
              <w:t>The persistent failure to meet a child/ vulnerable adult’s basic physical and psychological</w:t>
            </w:r>
            <w:r w:rsidR="004B28BD" w:rsidRPr="00AE4399">
              <w:rPr>
                <w:sz w:val="22"/>
              </w:rPr>
              <w:t xml:space="preserve"> </w:t>
            </w:r>
            <w:r w:rsidRPr="00AE4399">
              <w:rPr>
                <w:sz w:val="22"/>
              </w:rPr>
              <w:t xml:space="preserve">needs, which is likely to result in serious impairment to health and development. It may involve a carer failing to protect a child/ vulnerable adult from exposure to </w:t>
            </w:r>
            <w:r w:rsidRPr="00AE4399">
              <w:rPr>
                <w:sz w:val="22"/>
              </w:rPr>
              <w:lastRenderedPageBreak/>
              <w:t>any kind of danger, including cold or starvation, or extreme failure to carry out important aspects of care, resulting in a significant impairment of the child/ vulnerable adult’s health or development</w:t>
            </w:r>
          </w:p>
        </w:tc>
      </w:tr>
      <w:tr w:rsidR="005A172A" w:rsidRPr="00AE4399" w:rsidTr="00AE4399">
        <w:trPr>
          <w:trHeight w:val="283"/>
        </w:trPr>
        <w:tc>
          <w:tcPr>
            <w:tcW w:w="1701" w:type="dxa"/>
            <w:tcBorders>
              <w:top w:val="single" w:sz="8" w:space="0" w:color="000000"/>
              <w:bottom w:val="single" w:sz="8" w:space="0" w:color="000000"/>
              <w:right w:val="single" w:sz="8" w:space="0" w:color="000000"/>
            </w:tcBorders>
          </w:tcPr>
          <w:p w:rsidR="005A172A" w:rsidRPr="00AE4399" w:rsidRDefault="00E2149D" w:rsidP="00E2149D">
            <w:pPr>
              <w:pStyle w:val="IPCNormal"/>
              <w:spacing w:after="0"/>
              <w:rPr>
                <w:sz w:val="22"/>
              </w:rPr>
            </w:pPr>
            <w:r w:rsidRPr="00AE4399">
              <w:rPr>
                <w:sz w:val="22"/>
              </w:rPr>
              <w:lastRenderedPageBreak/>
              <w:t>Sexual abuse</w:t>
            </w:r>
          </w:p>
        </w:tc>
        <w:tc>
          <w:tcPr>
            <w:tcW w:w="6771" w:type="dxa"/>
            <w:tcBorders>
              <w:top w:val="single" w:sz="8" w:space="0" w:color="000000"/>
              <w:left w:val="single" w:sz="8" w:space="0" w:color="000000"/>
              <w:bottom w:val="single" w:sz="8" w:space="0" w:color="000000"/>
            </w:tcBorders>
          </w:tcPr>
          <w:p w:rsidR="005A172A" w:rsidRPr="00AE4399" w:rsidRDefault="00E2149D" w:rsidP="00E2149D">
            <w:pPr>
              <w:pStyle w:val="IPCNormal"/>
              <w:spacing w:after="0"/>
              <w:rPr>
                <w:sz w:val="22"/>
              </w:rPr>
            </w:pPr>
            <w:r w:rsidRPr="00AE4399">
              <w:rPr>
                <w:sz w:val="22"/>
              </w:rPr>
              <w:t>Forcing or enticing a child / vulnerable adult to take part in sexual activities, whether or not they are aware of what is happening. This include</w:t>
            </w:r>
            <w:r w:rsidR="004B28BD" w:rsidRPr="00AE4399">
              <w:rPr>
                <w:sz w:val="22"/>
              </w:rPr>
              <w:t xml:space="preserve">s rape, incest and all forms of </w:t>
            </w:r>
            <w:r w:rsidRPr="00AE4399">
              <w:rPr>
                <w:sz w:val="22"/>
              </w:rPr>
              <w:t>sexual activity involving children, including pornography and prostitution</w:t>
            </w:r>
          </w:p>
        </w:tc>
      </w:tr>
      <w:tr w:rsidR="005A172A" w:rsidRPr="00AE4399" w:rsidTr="00AE4399">
        <w:trPr>
          <w:trHeight w:val="283"/>
        </w:trPr>
        <w:tc>
          <w:tcPr>
            <w:tcW w:w="1701" w:type="dxa"/>
            <w:tcBorders>
              <w:top w:val="single" w:sz="8" w:space="0" w:color="000000"/>
              <w:bottom w:val="single" w:sz="8" w:space="0" w:color="000000"/>
              <w:right w:val="single" w:sz="8" w:space="0" w:color="000000"/>
            </w:tcBorders>
          </w:tcPr>
          <w:p w:rsidR="005A172A" w:rsidRPr="00AE4399" w:rsidRDefault="00E2149D" w:rsidP="00E2149D">
            <w:pPr>
              <w:pStyle w:val="IPCNormal"/>
              <w:spacing w:after="0"/>
              <w:rPr>
                <w:sz w:val="22"/>
              </w:rPr>
            </w:pPr>
            <w:r w:rsidRPr="00AE4399">
              <w:rPr>
                <w:sz w:val="22"/>
              </w:rPr>
              <w:t>Emotional abuse</w:t>
            </w:r>
          </w:p>
        </w:tc>
        <w:tc>
          <w:tcPr>
            <w:tcW w:w="6771" w:type="dxa"/>
            <w:tcBorders>
              <w:top w:val="single" w:sz="8" w:space="0" w:color="000000"/>
              <w:left w:val="single" w:sz="8" w:space="0" w:color="000000"/>
              <w:bottom w:val="single" w:sz="8" w:space="0" w:color="000000"/>
            </w:tcBorders>
          </w:tcPr>
          <w:p w:rsidR="005A172A" w:rsidRPr="00AE4399" w:rsidRDefault="00E2149D" w:rsidP="004B28BD">
            <w:pPr>
              <w:pStyle w:val="IPCNormal"/>
              <w:spacing w:after="0"/>
              <w:rPr>
                <w:sz w:val="22"/>
              </w:rPr>
            </w:pPr>
            <w:r w:rsidRPr="00AE4399">
              <w:rPr>
                <w:sz w:val="22"/>
              </w:rPr>
              <w:t>Persistent emotional ill treatment, which is likely to cause serious harm to the child /</w:t>
            </w:r>
            <w:r w:rsidR="004B28BD" w:rsidRPr="00AE4399">
              <w:rPr>
                <w:sz w:val="22"/>
              </w:rPr>
              <w:t xml:space="preserve"> </w:t>
            </w:r>
            <w:r w:rsidRPr="00AE4399">
              <w:rPr>
                <w:sz w:val="22"/>
              </w:rPr>
              <w:t>vulnerable adult’s emotional development. This may involve conveying to children / vulnerable adults that they are worthless, unloved and inadequate and cause children / vulnerable adults to feel frightened, in danger, be exploited or corrupted</w:t>
            </w:r>
          </w:p>
        </w:tc>
      </w:tr>
      <w:tr w:rsidR="005A172A" w:rsidRPr="00AE4399" w:rsidTr="00AE4399">
        <w:trPr>
          <w:trHeight w:val="283"/>
        </w:trPr>
        <w:tc>
          <w:tcPr>
            <w:tcW w:w="1701" w:type="dxa"/>
            <w:tcBorders>
              <w:top w:val="single" w:sz="8" w:space="0" w:color="000000"/>
              <w:bottom w:val="single" w:sz="8" w:space="0" w:color="000000"/>
              <w:right w:val="single" w:sz="8" w:space="0" w:color="000000"/>
            </w:tcBorders>
          </w:tcPr>
          <w:p w:rsidR="005A172A" w:rsidRPr="00AE4399" w:rsidRDefault="00E2149D" w:rsidP="00E2149D">
            <w:pPr>
              <w:pStyle w:val="IPCNormal"/>
              <w:spacing w:after="0"/>
              <w:rPr>
                <w:sz w:val="22"/>
              </w:rPr>
            </w:pPr>
            <w:r w:rsidRPr="00AE4399">
              <w:rPr>
                <w:sz w:val="22"/>
              </w:rPr>
              <w:t>Bullying &amp; Discrimination</w:t>
            </w:r>
          </w:p>
        </w:tc>
        <w:tc>
          <w:tcPr>
            <w:tcW w:w="6771" w:type="dxa"/>
            <w:tcBorders>
              <w:top w:val="single" w:sz="8" w:space="0" w:color="000000"/>
              <w:left w:val="single" w:sz="8" w:space="0" w:color="000000"/>
              <w:bottom w:val="single" w:sz="8" w:space="0" w:color="000000"/>
            </w:tcBorders>
          </w:tcPr>
          <w:p w:rsidR="005A172A" w:rsidRPr="00AE4399" w:rsidRDefault="00E2149D" w:rsidP="004B28BD">
            <w:pPr>
              <w:pStyle w:val="IPCNormal"/>
              <w:spacing w:after="0"/>
              <w:rPr>
                <w:sz w:val="22"/>
              </w:rPr>
            </w:pPr>
            <w:r w:rsidRPr="00AE4399">
              <w:rPr>
                <w:sz w:val="22"/>
              </w:rPr>
              <w:t>Usually occurs over time rather than being a single aggressive act. It involves an imbalance of power, the powerful attack the weak.  It can be psychological, verbal or</w:t>
            </w:r>
            <w:r w:rsidR="004B28BD" w:rsidRPr="00AE4399">
              <w:rPr>
                <w:sz w:val="22"/>
              </w:rPr>
              <w:t xml:space="preserve"> </w:t>
            </w:r>
            <w:r w:rsidRPr="00AE4399">
              <w:rPr>
                <w:sz w:val="22"/>
              </w:rPr>
              <w:t>physical in nature. It is often difficult to decide what is “teasing” and what constitutes</w:t>
            </w:r>
            <w:r w:rsidR="004B28BD" w:rsidRPr="00AE4399">
              <w:rPr>
                <w:sz w:val="22"/>
              </w:rPr>
              <w:t xml:space="preserve"> </w:t>
            </w:r>
            <w:r w:rsidRPr="00AE4399">
              <w:rPr>
                <w:sz w:val="22"/>
              </w:rPr>
              <w:t>bullying</w:t>
            </w:r>
          </w:p>
        </w:tc>
      </w:tr>
    </w:tbl>
    <w:p w:rsidR="00E2149D" w:rsidRPr="00AE4399" w:rsidRDefault="00E2149D" w:rsidP="00E2149D">
      <w:pPr>
        <w:pStyle w:val="IPCNormal"/>
        <w:rPr>
          <w:sz w:val="22"/>
        </w:rPr>
      </w:pPr>
    </w:p>
    <w:p w:rsidR="00E2149D" w:rsidRPr="00AE4399" w:rsidRDefault="00E2149D" w:rsidP="00393734">
      <w:pPr>
        <w:pStyle w:val="IPCNormal"/>
        <w:spacing w:after="0"/>
        <w:ind w:left="720"/>
        <w:rPr>
          <w:sz w:val="22"/>
        </w:rPr>
      </w:pPr>
      <w:r w:rsidRPr="00AE4399">
        <w:rPr>
          <w:sz w:val="22"/>
        </w:rPr>
        <w:t>Another type of abuse related to vulnerable adults only can include financial or material abuse which includes theft, fraud, exploitation, pressure in connection with wills, property or inheritance or financial transactions, or the misuse or misappropriation of property, possessions or benefits.</w:t>
      </w:r>
    </w:p>
    <w:p w:rsidR="00E2149D" w:rsidRPr="00AE4399" w:rsidRDefault="00E2149D" w:rsidP="00393734">
      <w:pPr>
        <w:pStyle w:val="IPCNormal"/>
        <w:spacing w:after="0"/>
        <w:ind w:left="720"/>
        <w:rPr>
          <w:sz w:val="22"/>
        </w:rPr>
      </w:pPr>
    </w:p>
    <w:p w:rsidR="002D668E" w:rsidRPr="00AE4399" w:rsidRDefault="00E2149D" w:rsidP="00393734">
      <w:pPr>
        <w:pStyle w:val="IPCNormal"/>
        <w:spacing w:after="0"/>
        <w:ind w:left="720"/>
        <w:rPr>
          <w:sz w:val="22"/>
        </w:rPr>
      </w:pPr>
      <w:r w:rsidRPr="00AE4399">
        <w:rPr>
          <w:sz w:val="22"/>
        </w:rPr>
        <w:t>It should be recognised that some children may be particularly vulnerable, for instance children with disabilities may be at increased risk of abuse through various factors such as stereotyping, prejudice, discrimination, isolation and a powerlessness to protect themselves or adequately communicate that abuse has occurred.</w:t>
      </w:r>
    </w:p>
    <w:p w:rsidR="00E2149D" w:rsidRPr="00AE4399" w:rsidRDefault="00E2149D" w:rsidP="00E2149D">
      <w:pPr>
        <w:pStyle w:val="IPCNormal"/>
        <w:spacing w:after="0"/>
        <w:rPr>
          <w:sz w:val="22"/>
        </w:rPr>
      </w:pPr>
    </w:p>
    <w:p w:rsidR="002D668E" w:rsidRPr="00AE4399" w:rsidRDefault="00854C00" w:rsidP="004961B9">
      <w:pPr>
        <w:pStyle w:val="IPCHeading1"/>
        <w:numPr>
          <w:ilvl w:val="0"/>
          <w:numId w:val="7"/>
        </w:numPr>
        <w:spacing w:before="0" w:after="0"/>
        <w:rPr>
          <w:sz w:val="28"/>
        </w:rPr>
      </w:pPr>
      <w:r w:rsidRPr="00AE4399">
        <w:rPr>
          <w:sz w:val="28"/>
        </w:rPr>
        <w:t>Recognition of Abuse</w:t>
      </w:r>
    </w:p>
    <w:p w:rsidR="00854C00" w:rsidRPr="00AE4399" w:rsidRDefault="00854C00" w:rsidP="004961B9">
      <w:pPr>
        <w:pStyle w:val="IPCNormal"/>
        <w:spacing w:before="240" w:after="0"/>
        <w:ind w:left="720"/>
        <w:rPr>
          <w:sz w:val="22"/>
        </w:rPr>
      </w:pPr>
      <w:r w:rsidRPr="00AE4399">
        <w:rPr>
          <w:sz w:val="22"/>
        </w:rPr>
        <w:t>It is not always easy to recognise a situation where abuse may occur or has already taken place.  It must be recognised that the following is not exhaustive and that the presence of one or more indicators is not necessarily proof that abuse is taking place; there may be other reasons for changes in behaviour.</w:t>
      </w:r>
    </w:p>
    <w:p w:rsidR="004961B9" w:rsidRPr="00AE4399" w:rsidRDefault="004961B9" w:rsidP="004961B9">
      <w:pPr>
        <w:pStyle w:val="IPCNormal"/>
        <w:spacing w:after="0"/>
        <w:ind w:left="720"/>
        <w:rPr>
          <w:sz w:val="22"/>
        </w:rPr>
      </w:pPr>
    </w:p>
    <w:p w:rsidR="00854C00" w:rsidRPr="00AE4399" w:rsidRDefault="00854C00" w:rsidP="004961B9">
      <w:pPr>
        <w:pStyle w:val="IPCNormal"/>
        <w:numPr>
          <w:ilvl w:val="0"/>
          <w:numId w:val="26"/>
        </w:numPr>
        <w:spacing w:after="0"/>
        <w:rPr>
          <w:sz w:val="22"/>
        </w:rPr>
      </w:pPr>
      <w:r w:rsidRPr="00AE4399">
        <w:rPr>
          <w:sz w:val="22"/>
        </w:rPr>
        <w:t>Unexplained / inconsistent or suspicious injuries such as bruising, cuts or burns, particularly if situated on a part of the body not normally prone to such injuries, for example cheeks</w:t>
      </w:r>
    </w:p>
    <w:p w:rsidR="00854C00" w:rsidRPr="00AE4399" w:rsidRDefault="00854C00" w:rsidP="004961B9">
      <w:pPr>
        <w:pStyle w:val="IPCNormal"/>
        <w:numPr>
          <w:ilvl w:val="0"/>
          <w:numId w:val="26"/>
        </w:numPr>
        <w:spacing w:after="0"/>
        <w:rPr>
          <w:sz w:val="22"/>
        </w:rPr>
      </w:pPr>
      <w:r w:rsidRPr="00AE4399">
        <w:rPr>
          <w:sz w:val="22"/>
        </w:rPr>
        <w:t>The child / vulnerable adult describes what appears to be an abusive act involving them</w:t>
      </w:r>
    </w:p>
    <w:p w:rsidR="00854C00" w:rsidRPr="00AE4399" w:rsidRDefault="00854C00" w:rsidP="004961B9">
      <w:pPr>
        <w:pStyle w:val="IPCNormal"/>
        <w:numPr>
          <w:ilvl w:val="0"/>
          <w:numId w:val="26"/>
        </w:numPr>
        <w:spacing w:after="0"/>
        <w:rPr>
          <w:sz w:val="22"/>
        </w:rPr>
      </w:pPr>
      <w:r w:rsidRPr="00AE4399">
        <w:rPr>
          <w:sz w:val="22"/>
        </w:rPr>
        <w:t>Another child or adult expresses concern about the welfare of a child / vulnerable adult</w:t>
      </w:r>
    </w:p>
    <w:p w:rsidR="00854C00" w:rsidRPr="00AE4399" w:rsidRDefault="00854C00" w:rsidP="004961B9">
      <w:pPr>
        <w:pStyle w:val="IPCNormal"/>
        <w:numPr>
          <w:ilvl w:val="0"/>
          <w:numId w:val="26"/>
        </w:numPr>
        <w:spacing w:after="0"/>
        <w:rPr>
          <w:sz w:val="22"/>
        </w:rPr>
      </w:pPr>
      <w:r w:rsidRPr="00AE4399">
        <w:rPr>
          <w:sz w:val="22"/>
        </w:rPr>
        <w:t>Unexplained changes in a child / vulnerable adult’s behaviour, e.g. becoming very</w:t>
      </w:r>
    </w:p>
    <w:p w:rsidR="00854C00" w:rsidRPr="00AE4399" w:rsidRDefault="00854C00" w:rsidP="004961B9">
      <w:pPr>
        <w:pStyle w:val="IPCNormal"/>
        <w:numPr>
          <w:ilvl w:val="0"/>
          <w:numId w:val="26"/>
        </w:numPr>
        <w:spacing w:after="0"/>
        <w:rPr>
          <w:sz w:val="22"/>
        </w:rPr>
      </w:pPr>
      <w:r w:rsidRPr="00AE4399">
        <w:rPr>
          <w:sz w:val="22"/>
        </w:rPr>
        <w:t>upset, quiet, withdrawn or displaying a sudden outburst of temper</w:t>
      </w:r>
    </w:p>
    <w:p w:rsidR="00854C00" w:rsidRPr="00AE4399" w:rsidRDefault="00854C00" w:rsidP="004961B9">
      <w:pPr>
        <w:pStyle w:val="IPCNormal"/>
        <w:numPr>
          <w:ilvl w:val="0"/>
          <w:numId w:val="26"/>
        </w:numPr>
        <w:spacing w:after="0"/>
        <w:rPr>
          <w:sz w:val="22"/>
        </w:rPr>
      </w:pPr>
      <w:r w:rsidRPr="00AE4399">
        <w:rPr>
          <w:sz w:val="22"/>
        </w:rPr>
        <w:t>Inappropriate sexual awareness</w:t>
      </w:r>
    </w:p>
    <w:p w:rsidR="00854C00" w:rsidRPr="00AE4399" w:rsidRDefault="00854C00" w:rsidP="004961B9">
      <w:pPr>
        <w:pStyle w:val="IPCNormal"/>
        <w:numPr>
          <w:ilvl w:val="0"/>
          <w:numId w:val="26"/>
        </w:numPr>
        <w:spacing w:after="0"/>
        <w:rPr>
          <w:sz w:val="22"/>
        </w:rPr>
      </w:pPr>
      <w:r w:rsidRPr="00AE4399">
        <w:rPr>
          <w:sz w:val="22"/>
        </w:rPr>
        <w:t>Engaging in sexually explicit behaviour</w:t>
      </w:r>
    </w:p>
    <w:p w:rsidR="00854C00" w:rsidRPr="00AE4399" w:rsidRDefault="00854C00" w:rsidP="004961B9">
      <w:pPr>
        <w:pStyle w:val="IPCNormal"/>
        <w:numPr>
          <w:ilvl w:val="0"/>
          <w:numId w:val="26"/>
        </w:numPr>
        <w:spacing w:after="0"/>
        <w:rPr>
          <w:sz w:val="22"/>
        </w:rPr>
      </w:pPr>
      <w:r w:rsidRPr="00AE4399">
        <w:rPr>
          <w:sz w:val="22"/>
        </w:rPr>
        <w:t>Distrust of adults, particularly those with whom a close relationship would normally be expected</w:t>
      </w:r>
    </w:p>
    <w:p w:rsidR="00854C00" w:rsidRPr="00AE4399" w:rsidRDefault="00854C00" w:rsidP="004961B9">
      <w:pPr>
        <w:pStyle w:val="IPCNormal"/>
        <w:numPr>
          <w:ilvl w:val="0"/>
          <w:numId w:val="26"/>
        </w:numPr>
        <w:spacing w:after="0"/>
        <w:rPr>
          <w:sz w:val="22"/>
        </w:rPr>
      </w:pPr>
      <w:r w:rsidRPr="00AE4399">
        <w:rPr>
          <w:sz w:val="22"/>
        </w:rPr>
        <w:t>Difficulty in making friends</w:t>
      </w:r>
    </w:p>
    <w:p w:rsidR="00854C00" w:rsidRPr="00AE4399" w:rsidRDefault="00854C00" w:rsidP="004961B9">
      <w:pPr>
        <w:pStyle w:val="IPCNormal"/>
        <w:numPr>
          <w:ilvl w:val="0"/>
          <w:numId w:val="26"/>
        </w:numPr>
        <w:spacing w:after="0"/>
        <w:rPr>
          <w:sz w:val="22"/>
        </w:rPr>
      </w:pPr>
      <w:r w:rsidRPr="00AE4399">
        <w:rPr>
          <w:sz w:val="22"/>
        </w:rPr>
        <w:t>Being prevented from socialising with others</w:t>
      </w:r>
    </w:p>
    <w:p w:rsidR="00854C00" w:rsidRPr="00AE4399" w:rsidRDefault="00854C00" w:rsidP="004961B9">
      <w:pPr>
        <w:pStyle w:val="IPCNormal"/>
        <w:numPr>
          <w:ilvl w:val="0"/>
          <w:numId w:val="26"/>
        </w:numPr>
        <w:spacing w:after="0"/>
        <w:rPr>
          <w:sz w:val="22"/>
        </w:rPr>
      </w:pPr>
      <w:r w:rsidRPr="00AE4399">
        <w:rPr>
          <w:sz w:val="22"/>
        </w:rPr>
        <w:t>Displaying variations in eating patterns including overeating or loss of appetite</w:t>
      </w:r>
    </w:p>
    <w:p w:rsidR="00854C00" w:rsidRPr="00AE4399" w:rsidRDefault="00854C00" w:rsidP="004961B9">
      <w:pPr>
        <w:pStyle w:val="IPCNormal"/>
        <w:numPr>
          <w:ilvl w:val="0"/>
          <w:numId w:val="26"/>
        </w:numPr>
        <w:spacing w:after="0"/>
        <w:rPr>
          <w:sz w:val="22"/>
        </w:rPr>
      </w:pPr>
      <w:r w:rsidRPr="00AE4399">
        <w:rPr>
          <w:sz w:val="22"/>
        </w:rPr>
        <w:t>Losing weight for no apparent reason</w:t>
      </w:r>
    </w:p>
    <w:p w:rsidR="00854C00" w:rsidRPr="00AE4399" w:rsidRDefault="00854C00" w:rsidP="004961B9">
      <w:pPr>
        <w:pStyle w:val="IPCNormal"/>
        <w:numPr>
          <w:ilvl w:val="0"/>
          <w:numId w:val="26"/>
        </w:numPr>
        <w:spacing w:after="0"/>
        <w:rPr>
          <w:sz w:val="22"/>
        </w:rPr>
      </w:pPr>
      <w:r w:rsidRPr="00AE4399">
        <w:rPr>
          <w:sz w:val="22"/>
        </w:rPr>
        <w:t>Becoming increasingly dirty or unkempt</w:t>
      </w:r>
    </w:p>
    <w:p w:rsidR="00854C00" w:rsidRPr="00AE4399" w:rsidRDefault="00854C00" w:rsidP="004961B9">
      <w:pPr>
        <w:pStyle w:val="IPCNormal"/>
        <w:numPr>
          <w:ilvl w:val="0"/>
          <w:numId w:val="26"/>
        </w:numPr>
        <w:spacing w:after="0"/>
        <w:rPr>
          <w:sz w:val="22"/>
        </w:rPr>
      </w:pPr>
      <w:r w:rsidRPr="00AE4399">
        <w:rPr>
          <w:sz w:val="22"/>
        </w:rPr>
        <w:lastRenderedPageBreak/>
        <w:t>Unexplained drop off in performance</w:t>
      </w:r>
    </w:p>
    <w:p w:rsidR="00854C00" w:rsidRPr="00AE4399" w:rsidRDefault="00854C00" w:rsidP="004961B9">
      <w:pPr>
        <w:pStyle w:val="IPCNormal"/>
        <w:numPr>
          <w:ilvl w:val="0"/>
          <w:numId w:val="26"/>
        </w:numPr>
        <w:spacing w:after="0"/>
        <w:rPr>
          <w:sz w:val="22"/>
        </w:rPr>
      </w:pPr>
      <w:r w:rsidRPr="00AE4399">
        <w:rPr>
          <w:sz w:val="22"/>
        </w:rPr>
        <w:t>Physical signs such as stomach-aches, headaches, damaged clothes, bingeing</w:t>
      </w:r>
    </w:p>
    <w:p w:rsidR="00854C00" w:rsidRPr="00AE4399" w:rsidRDefault="00854C00" w:rsidP="004961B9">
      <w:pPr>
        <w:pStyle w:val="IPCNormal"/>
        <w:numPr>
          <w:ilvl w:val="0"/>
          <w:numId w:val="26"/>
        </w:numPr>
        <w:spacing w:after="0"/>
        <w:rPr>
          <w:sz w:val="22"/>
        </w:rPr>
      </w:pPr>
      <w:r w:rsidRPr="00AE4399">
        <w:rPr>
          <w:sz w:val="22"/>
        </w:rPr>
        <w:t>Shortage of money or frequent loss of possessions</w:t>
      </w:r>
    </w:p>
    <w:p w:rsidR="00AE4399" w:rsidRPr="00AE4399" w:rsidRDefault="00AE4399" w:rsidP="004961B9">
      <w:pPr>
        <w:pStyle w:val="IPCNormal"/>
        <w:spacing w:after="0"/>
        <w:ind w:left="720"/>
        <w:rPr>
          <w:sz w:val="22"/>
        </w:rPr>
      </w:pPr>
    </w:p>
    <w:p w:rsidR="00854C00" w:rsidRPr="00AE4399" w:rsidRDefault="00854C00" w:rsidP="004961B9">
      <w:pPr>
        <w:pStyle w:val="IPCNormal"/>
        <w:spacing w:after="0"/>
        <w:ind w:left="720"/>
        <w:rPr>
          <w:sz w:val="22"/>
        </w:rPr>
      </w:pPr>
      <w:r w:rsidRPr="00AE4399">
        <w:rPr>
          <w:sz w:val="22"/>
        </w:rPr>
        <w:t>If you are worried, it is NOT your responsibility to decide if it is abuse or to decide if an investigation is warranted BUT it is your responsibility to take action and your duty to act on your concerns immediately and do something about it.</w:t>
      </w:r>
    </w:p>
    <w:p w:rsidR="00854C00" w:rsidRPr="00AE4399" w:rsidRDefault="00854C00" w:rsidP="004961B9">
      <w:pPr>
        <w:pStyle w:val="IPCNormal"/>
        <w:spacing w:after="0"/>
        <w:ind w:left="720"/>
        <w:rPr>
          <w:sz w:val="22"/>
        </w:rPr>
      </w:pPr>
    </w:p>
    <w:p w:rsidR="00854C00" w:rsidRPr="00AE4399" w:rsidRDefault="00854C00" w:rsidP="004961B9">
      <w:pPr>
        <w:pStyle w:val="IPCNormal"/>
        <w:spacing w:after="0"/>
        <w:ind w:left="720"/>
        <w:rPr>
          <w:sz w:val="22"/>
        </w:rPr>
      </w:pPr>
      <w:r w:rsidRPr="00AE4399">
        <w:rPr>
          <w:sz w:val="22"/>
        </w:rPr>
        <w:t>It should be recognised that abuse does not just take place within the family home. It can occur within other settings. It is therefore possible that allegations of abuse may be made against members of staff and/or volunteers working around you.</w:t>
      </w:r>
      <w:r w:rsidR="004961B9" w:rsidRPr="00AE4399">
        <w:rPr>
          <w:sz w:val="22"/>
        </w:rPr>
        <w:br/>
      </w:r>
    </w:p>
    <w:p w:rsidR="006A7093" w:rsidRPr="00AE4399" w:rsidRDefault="009D23B9" w:rsidP="009D23B9">
      <w:pPr>
        <w:pStyle w:val="IPCHeading1"/>
        <w:numPr>
          <w:ilvl w:val="0"/>
          <w:numId w:val="7"/>
        </w:numPr>
        <w:rPr>
          <w:sz w:val="28"/>
        </w:rPr>
      </w:pPr>
      <w:r w:rsidRPr="009D23B9">
        <w:rPr>
          <w:sz w:val="28"/>
        </w:rPr>
        <w:t>Good Practice Guidelines</w:t>
      </w:r>
      <w:r w:rsidR="00630EC8" w:rsidRPr="00AE4399">
        <w:rPr>
          <w:sz w:val="28"/>
        </w:rPr>
        <w:t>:</w:t>
      </w:r>
    </w:p>
    <w:p w:rsidR="009D23B9" w:rsidRPr="009D23B9" w:rsidRDefault="009D23B9" w:rsidP="009D23B9">
      <w:pPr>
        <w:pStyle w:val="IPCNormal"/>
        <w:spacing w:after="0"/>
        <w:ind w:left="360"/>
        <w:rPr>
          <w:sz w:val="22"/>
        </w:rPr>
      </w:pPr>
      <w:r w:rsidRPr="009D23B9">
        <w:rPr>
          <w:sz w:val="22"/>
        </w:rPr>
        <w:t xml:space="preserve">All </w:t>
      </w:r>
      <w:r w:rsidR="004768C4">
        <w:rPr>
          <w:sz w:val="22"/>
        </w:rPr>
        <w:t>Council</w:t>
      </w:r>
      <w:r w:rsidRPr="009D23B9">
        <w:rPr>
          <w:sz w:val="22"/>
        </w:rPr>
        <w:t xml:space="preserve"> representatives should conduct themselves in such a way that promotes best practice. There will be occasions during the course of normal duties when </w:t>
      </w:r>
      <w:r w:rsidR="004768C4">
        <w:rPr>
          <w:sz w:val="22"/>
        </w:rPr>
        <w:t>Council</w:t>
      </w:r>
      <w:r w:rsidRPr="009D23B9">
        <w:rPr>
          <w:sz w:val="22"/>
        </w:rPr>
        <w:t xml:space="preserve"> representatives will have to, for example, administer first aid or protect a casualty. </w:t>
      </w:r>
      <w:r w:rsidR="004768C4">
        <w:rPr>
          <w:sz w:val="22"/>
        </w:rPr>
        <w:t>Council</w:t>
      </w:r>
      <w:r w:rsidRPr="009D23B9">
        <w:rPr>
          <w:sz w:val="22"/>
        </w:rPr>
        <w:t xml:space="preserve"> representatives should follow these guidelines when doing so:</w:t>
      </w:r>
    </w:p>
    <w:p w:rsidR="009D23B9" w:rsidRPr="009D23B9" w:rsidRDefault="009D23B9" w:rsidP="009D23B9">
      <w:pPr>
        <w:pStyle w:val="IPCNormal"/>
        <w:spacing w:after="0"/>
        <w:ind w:left="360"/>
        <w:rPr>
          <w:sz w:val="22"/>
        </w:rPr>
      </w:pPr>
    </w:p>
    <w:p w:rsidR="009D23B9" w:rsidRPr="009D23B9" w:rsidRDefault="009D23B9" w:rsidP="00D8167F">
      <w:pPr>
        <w:pStyle w:val="IPCNormal"/>
        <w:numPr>
          <w:ilvl w:val="0"/>
          <w:numId w:val="27"/>
        </w:numPr>
        <w:spacing w:after="0"/>
        <w:rPr>
          <w:sz w:val="22"/>
        </w:rPr>
      </w:pPr>
      <w:r w:rsidRPr="009D23B9">
        <w:rPr>
          <w:sz w:val="22"/>
        </w:rPr>
        <w:t>Always working in an open environment (e.g. avoiding private or unobserved situations and encouraging open communication with no secrets)</w:t>
      </w:r>
    </w:p>
    <w:p w:rsidR="009D23B9" w:rsidRPr="009D23B9" w:rsidRDefault="009D23B9" w:rsidP="00D8167F">
      <w:pPr>
        <w:pStyle w:val="IPCNormal"/>
        <w:numPr>
          <w:ilvl w:val="0"/>
          <w:numId w:val="27"/>
        </w:numPr>
        <w:spacing w:after="0"/>
        <w:rPr>
          <w:sz w:val="22"/>
        </w:rPr>
      </w:pPr>
      <w:r w:rsidRPr="009D23B9">
        <w:rPr>
          <w:sz w:val="22"/>
        </w:rPr>
        <w:t>Treating all children and vulnerable adults equally, and with respect and dignity</w:t>
      </w:r>
    </w:p>
    <w:p w:rsidR="009D23B9" w:rsidRPr="009D23B9" w:rsidRDefault="009D23B9" w:rsidP="00D8167F">
      <w:pPr>
        <w:pStyle w:val="IPCNormal"/>
        <w:numPr>
          <w:ilvl w:val="0"/>
          <w:numId w:val="27"/>
        </w:numPr>
        <w:spacing w:after="0"/>
        <w:rPr>
          <w:sz w:val="22"/>
        </w:rPr>
      </w:pPr>
      <w:r w:rsidRPr="009D23B9">
        <w:rPr>
          <w:sz w:val="22"/>
        </w:rPr>
        <w:t>Always putting the welfare of the child or vulnerable adult first</w:t>
      </w:r>
    </w:p>
    <w:p w:rsidR="009D23B9" w:rsidRPr="009D23B9" w:rsidRDefault="009D23B9" w:rsidP="00D8167F">
      <w:pPr>
        <w:pStyle w:val="IPCNormal"/>
        <w:numPr>
          <w:ilvl w:val="0"/>
          <w:numId w:val="27"/>
        </w:numPr>
        <w:spacing w:after="0"/>
        <w:rPr>
          <w:sz w:val="22"/>
        </w:rPr>
      </w:pPr>
      <w:r w:rsidRPr="009D23B9">
        <w:rPr>
          <w:sz w:val="22"/>
        </w:rPr>
        <w:t xml:space="preserve">Maintaining an appropriate relationship with children and vulnerable adults: Physical contact may be appropriate as part of your normal duties i.e. administering first aid or protecting a casualty but should be avoided in any other situation.  This also applies in a social or communication context where </w:t>
      </w:r>
      <w:r w:rsidR="00D71552">
        <w:rPr>
          <w:sz w:val="22"/>
        </w:rPr>
        <w:t>council</w:t>
      </w:r>
      <w:r w:rsidRPr="009D23B9">
        <w:rPr>
          <w:sz w:val="22"/>
        </w:rPr>
        <w:t xml:space="preserve"> representatives should acknowledge and maintain professional boundaries at all times</w:t>
      </w:r>
    </w:p>
    <w:p w:rsidR="009D23B9" w:rsidRPr="009D23B9" w:rsidRDefault="009D23B9" w:rsidP="00D8167F">
      <w:pPr>
        <w:pStyle w:val="IPCNormal"/>
        <w:numPr>
          <w:ilvl w:val="0"/>
          <w:numId w:val="27"/>
        </w:numPr>
        <w:spacing w:after="0"/>
        <w:rPr>
          <w:sz w:val="22"/>
        </w:rPr>
      </w:pPr>
      <w:r w:rsidRPr="009D23B9">
        <w:rPr>
          <w:sz w:val="22"/>
        </w:rPr>
        <w:t>Building balanced relationships based on mutual trust which empowers children and vulnerable adults to share in the decision making process</w:t>
      </w:r>
    </w:p>
    <w:p w:rsidR="009D23B9" w:rsidRPr="009D23B9" w:rsidRDefault="009D23B9" w:rsidP="00D8167F">
      <w:pPr>
        <w:pStyle w:val="IPCNormal"/>
        <w:numPr>
          <w:ilvl w:val="0"/>
          <w:numId w:val="27"/>
        </w:numPr>
        <w:spacing w:after="0"/>
        <w:rPr>
          <w:sz w:val="22"/>
        </w:rPr>
      </w:pPr>
      <w:r w:rsidRPr="009D23B9">
        <w:rPr>
          <w:sz w:val="22"/>
        </w:rPr>
        <w:t>Ensuring if any form of manual/physical support is required, it should be provided openly and according to guidelines.  Children / vulnerable adults and their parents</w:t>
      </w:r>
      <w:r w:rsidR="00783ECF">
        <w:rPr>
          <w:sz w:val="22"/>
        </w:rPr>
        <w:t xml:space="preserve">, guardians, </w:t>
      </w:r>
      <w:r w:rsidRPr="009D23B9">
        <w:rPr>
          <w:sz w:val="22"/>
        </w:rPr>
        <w:t>carers should always be consulted and their agreement gained</w:t>
      </w:r>
    </w:p>
    <w:p w:rsidR="009D23B9" w:rsidRPr="009D23B9" w:rsidRDefault="009D23B9" w:rsidP="00D8167F">
      <w:pPr>
        <w:pStyle w:val="IPCNormal"/>
        <w:numPr>
          <w:ilvl w:val="0"/>
          <w:numId w:val="27"/>
        </w:numPr>
        <w:spacing w:after="0"/>
        <w:rPr>
          <w:sz w:val="22"/>
        </w:rPr>
      </w:pPr>
      <w:r w:rsidRPr="009D23B9">
        <w:rPr>
          <w:sz w:val="22"/>
        </w:rPr>
        <w:t>Being an excellent role model – this includes not smoking or drinking in the company of children</w:t>
      </w:r>
    </w:p>
    <w:p w:rsidR="009D23B9" w:rsidRPr="009D23B9" w:rsidRDefault="009D23B9" w:rsidP="00D8167F">
      <w:pPr>
        <w:pStyle w:val="IPCNormal"/>
        <w:numPr>
          <w:ilvl w:val="0"/>
          <w:numId w:val="27"/>
        </w:numPr>
        <w:spacing w:after="0"/>
        <w:rPr>
          <w:sz w:val="22"/>
        </w:rPr>
      </w:pPr>
      <w:r w:rsidRPr="009D23B9">
        <w:rPr>
          <w:sz w:val="22"/>
        </w:rPr>
        <w:t>Requesting written parental</w:t>
      </w:r>
      <w:r w:rsidR="00783ECF">
        <w:rPr>
          <w:sz w:val="22"/>
        </w:rPr>
        <w:t>, guardian,</w:t>
      </w:r>
      <w:r w:rsidRPr="009D23B9">
        <w:rPr>
          <w:sz w:val="22"/>
        </w:rPr>
        <w:t xml:space="preserve"> carer consent if </w:t>
      </w:r>
      <w:r w:rsidR="00783ECF">
        <w:rPr>
          <w:sz w:val="22"/>
        </w:rPr>
        <w:t>council</w:t>
      </w:r>
      <w:r w:rsidRPr="009D23B9">
        <w:rPr>
          <w:sz w:val="22"/>
        </w:rPr>
        <w:t xml:space="preserve"> representatives are required to transport children / vulnerable adults in their cars</w:t>
      </w:r>
    </w:p>
    <w:p w:rsidR="009D23B9" w:rsidRPr="009D23B9" w:rsidRDefault="009D23B9" w:rsidP="009D23B9">
      <w:pPr>
        <w:pStyle w:val="IPCNormal"/>
        <w:spacing w:after="0"/>
        <w:ind w:left="360"/>
        <w:rPr>
          <w:sz w:val="22"/>
        </w:rPr>
      </w:pPr>
    </w:p>
    <w:p w:rsidR="009D23B9" w:rsidRPr="009D23B9" w:rsidRDefault="009D23B9" w:rsidP="009D23B9">
      <w:pPr>
        <w:pStyle w:val="IPCNormal"/>
        <w:spacing w:after="0"/>
        <w:ind w:left="360"/>
        <w:rPr>
          <w:sz w:val="22"/>
        </w:rPr>
      </w:pPr>
      <w:r w:rsidRPr="009D23B9">
        <w:rPr>
          <w:sz w:val="22"/>
        </w:rPr>
        <w:t>Further information can be found in the Government Office document ‘Guidance for Safer</w:t>
      </w:r>
    </w:p>
    <w:p w:rsidR="009D23B9" w:rsidRPr="009D23B9" w:rsidRDefault="009D23B9" w:rsidP="009D23B9">
      <w:pPr>
        <w:pStyle w:val="IPCNormal"/>
        <w:spacing w:after="0"/>
        <w:ind w:left="360"/>
        <w:rPr>
          <w:sz w:val="22"/>
        </w:rPr>
      </w:pPr>
      <w:r w:rsidRPr="009D23B9">
        <w:rPr>
          <w:sz w:val="22"/>
        </w:rPr>
        <w:t>Working Practice for Adults who work with Children and Young People’.</w:t>
      </w:r>
    </w:p>
    <w:p w:rsidR="009D23B9" w:rsidRPr="009D23B9" w:rsidRDefault="009D23B9" w:rsidP="009D23B9">
      <w:pPr>
        <w:pStyle w:val="IPCNormal"/>
        <w:spacing w:after="0"/>
        <w:ind w:left="360"/>
        <w:rPr>
          <w:sz w:val="22"/>
        </w:rPr>
      </w:pPr>
    </w:p>
    <w:p w:rsidR="009D23B9" w:rsidRPr="009D23B9" w:rsidRDefault="009D23B9" w:rsidP="009D23B9">
      <w:pPr>
        <w:pStyle w:val="IPCNormal"/>
        <w:spacing w:after="0"/>
        <w:ind w:left="360"/>
        <w:rPr>
          <w:sz w:val="22"/>
        </w:rPr>
      </w:pPr>
      <w:r w:rsidRPr="009D23B9">
        <w:rPr>
          <w:sz w:val="22"/>
        </w:rPr>
        <w:t>With regards to communication online, communication between children and adults, by whatever method, should take place within clear and explicit professional boundaries.</w:t>
      </w:r>
    </w:p>
    <w:p w:rsidR="009D23B9" w:rsidRPr="009D23B9" w:rsidRDefault="009D23B9" w:rsidP="009D23B9">
      <w:pPr>
        <w:pStyle w:val="IPCNormal"/>
        <w:spacing w:after="0"/>
        <w:ind w:left="360"/>
        <w:rPr>
          <w:sz w:val="22"/>
        </w:rPr>
      </w:pPr>
    </w:p>
    <w:p w:rsidR="001E1B2C" w:rsidRDefault="009D23B9" w:rsidP="001E1B2C">
      <w:pPr>
        <w:pStyle w:val="IPCNormal"/>
        <w:spacing w:after="0"/>
        <w:ind w:left="360"/>
        <w:rPr>
          <w:sz w:val="22"/>
        </w:rPr>
      </w:pPr>
      <w:r w:rsidRPr="009D23B9">
        <w:rPr>
          <w:sz w:val="22"/>
        </w:rPr>
        <w:t>Government guidance states: “Adults should not share any personal information with a child or young person. They should not request, or respond to, any personal information from the child/young person.  Adults should ensure that all communications are transparent and open to scrutiny”</w:t>
      </w:r>
    </w:p>
    <w:p w:rsidR="009D23B9" w:rsidRPr="009D23B9" w:rsidRDefault="009D23B9" w:rsidP="001E1B2C">
      <w:pPr>
        <w:pStyle w:val="IPCNormal"/>
        <w:spacing w:after="0"/>
        <w:ind w:left="360"/>
        <w:rPr>
          <w:sz w:val="22"/>
        </w:rPr>
      </w:pPr>
      <w:r w:rsidRPr="009D23B9">
        <w:rPr>
          <w:sz w:val="22"/>
        </w:rPr>
        <w:t>Source: Guidance for Safer Working Practice for Adults working with Children and Young</w:t>
      </w:r>
    </w:p>
    <w:p w:rsidR="009D23B9" w:rsidRPr="009D23B9" w:rsidRDefault="009D23B9" w:rsidP="009D23B9">
      <w:pPr>
        <w:pStyle w:val="IPCNormal"/>
        <w:spacing w:after="0"/>
        <w:ind w:left="360"/>
        <w:rPr>
          <w:sz w:val="22"/>
        </w:rPr>
      </w:pPr>
      <w:r w:rsidRPr="009D23B9">
        <w:rPr>
          <w:sz w:val="22"/>
        </w:rPr>
        <w:t>People – January 2009</w:t>
      </w:r>
    </w:p>
    <w:p w:rsidR="009D23B9" w:rsidRPr="009D23B9" w:rsidRDefault="009D23B9" w:rsidP="009D23B9">
      <w:pPr>
        <w:pStyle w:val="IPCNormal"/>
        <w:spacing w:after="0"/>
        <w:ind w:left="360"/>
        <w:rPr>
          <w:sz w:val="22"/>
        </w:rPr>
      </w:pPr>
    </w:p>
    <w:p w:rsidR="001E1B2C" w:rsidRDefault="001E1B2C" w:rsidP="009D23B9">
      <w:pPr>
        <w:pStyle w:val="IPCNormal"/>
        <w:spacing w:after="0"/>
        <w:ind w:left="360"/>
        <w:rPr>
          <w:sz w:val="22"/>
        </w:rPr>
      </w:pPr>
    </w:p>
    <w:p w:rsidR="009D23B9" w:rsidRPr="009D23B9" w:rsidRDefault="009D23B9" w:rsidP="009D23B9">
      <w:pPr>
        <w:pStyle w:val="IPCNormal"/>
        <w:spacing w:after="0"/>
        <w:ind w:left="360"/>
        <w:rPr>
          <w:sz w:val="22"/>
        </w:rPr>
      </w:pPr>
      <w:r w:rsidRPr="009D23B9">
        <w:rPr>
          <w:sz w:val="22"/>
        </w:rPr>
        <w:t xml:space="preserve">The following practices should be </w:t>
      </w:r>
      <w:r w:rsidRPr="004768C4">
        <w:rPr>
          <w:b/>
          <w:sz w:val="22"/>
        </w:rPr>
        <w:t>avoided</w:t>
      </w:r>
      <w:r w:rsidRPr="009D23B9">
        <w:rPr>
          <w:sz w:val="22"/>
        </w:rPr>
        <w:t xml:space="preserve"> except in emergencies. If cases where these situations are unavoidable it should be with the full knowledge and consent of the </w:t>
      </w:r>
      <w:r w:rsidR="00783ECF">
        <w:rPr>
          <w:sz w:val="22"/>
        </w:rPr>
        <w:t>Clerk of the Council or their Deputy, a Councillor, the Lead Volunteer</w:t>
      </w:r>
      <w:r w:rsidRPr="009D23B9">
        <w:rPr>
          <w:sz w:val="22"/>
        </w:rPr>
        <w:t xml:space="preserve"> or a parent</w:t>
      </w:r>
      <w:r w:rsidR="00783ECF">
        <w:rPr>
          <w:sz w:val="22"/>
        </w:rPr>
        <w:t>, guardian or</w:t>
      </w:r>
      <w:r w:rsidRPr="009D23B9">
        <w:rPr>
          <w:sz w:val="22"/>
        </w:rPr>
        <w:t xml:space="preserve"> carer.</w:t>
      </w:r>
    </w:p>
    <w:p w:rsidR="009D23B9" w:rsidRPr="009D23B9" w:rsidRDefault="009D23B9" w:rsidP="009D23B9">
      <w:pPr>
        <w:pStyle w:val="IPCNormal"/>
        <w:spacing w:after="0"/>
        <w:ind w:left="360"/>
        <w:rPr>
          <w:sz w:val="22"/>
        </w:rPr>
      </w:pPr>
    </w:p>
    <w:p w:rsidR="009D23B9" w:rsidRPr="009D23B9" w:rsidRDefault="009D23B9" w:rsidP="004768C4">
      <w:pPr>
        <w:pStyle w:val="IPCNormal"/>
        <w:numPr>
          <w:ilvl w:val="0"/>
          <w:numId w:val="28"/>
        </w:numPr>
        <w:spacing w:after="0"/>
        <w:rPr>
          <w:sz w:val="22"/>
        </w:rPr>
      </w:pPr>
      <w:r w:rsidRPr="009D23B9">
        <w:rPr>
          <w:sz w:val="22"/>
        </w:rPr>
        <w:t>Avoid spending time alone with children / vulnerable adults away from others</w:t>
      </w:r>
    </w:p>
    <w:p w:rsidR="009D23B9" w:rsidRPr="009D23B9" w:rsidRDefault="009D23B9" w:rsidP="004768C4">
      <w:pPr>
        <w:pStyle w:val="IPCNormal"/>
        <w:numPr>
          <w:ilvl w:val="0"/>
          <w:numId w:val="28"/>
        </w:numPr>
        <w:spacing w:after="0"/>
        <w:rPr>
          <w:sz w:val="22"/>
        </w:rPr>
      </w:pPr>
      <w:r w:rsidRPr="009D23B9">
        <w:rPr>
          <w:sz w:val="22"/>
        </w:rPr>
        <w:t>Avoid taking children / vulnerable adults alone in the car</w:t>
      </w:r>
    </w:p>
    <w:p w:rsidR="009D23B9" w:rsidRPr="009D23B9" w:rsidRDefault="009D23B9" w:rsidP="009D23B9">
      <w:pPr>
        <w:pStyle w:val="IPCNormal"/>
        <w:spacing w:after="0"/>
        <w:ind w:left="360"/>
        <w:rPr>
          <w:sz w:val="22"/>
        </w:rPr>
      </w:pPr>
    </w:p>
    <w:p w:rsidR="009D23B9" w:rsidRPr="009D23B9" w:rsidRDefault="009D23B9" w:rsidP="009D23B9">
      <w:pPr>
        <w:pStyle w:val="IPCNormal"/>
        <w:spacing w:after="0"/>
        <w:ind w:left="360"/>
        <w:rPr>
          <w:sz w:val="22"/>
        </w:rPr>
      </w:pPr>
      <w:r w:rsidRPr="009D23B9">
        <w:rPr>
          <w:sz w:val="22"/>
        </w:rPr>
        <w:t xml:space="preserve">The following should </w:t>
      </w:r>
      <w:r w:rsidRPr="004768C4">
        <w:rPr>
          <w:b/>
          <w:sz w:val="22"/>
        </w:rPr>
        <w:t>never</w:t>
      </w:r>
      <w:r w:rsidRPr="009D23B9">
        <w:rPr>
          <w:sz w:val="22"/>
        </w:rPr>
        <w:t xml:space="preserve"> be sanctioned.  You should never:</w:t>
      </w:r>
    </w:p>
    <w:p w:rsidR="009D23B9" w:rsidRPr="009D23B9" w:rsidRDefault="009D23B9" w:rsidP="009D23B9">
      <w:pPr>
        <w:pStyle w:val="IPCNormal"/>
        <w:spacing w:after="0"/>
        <w:ind w:left="360"/>
        <w:rPr>
          <w:sz w:val="22"/>
        </w:rPr>
      </w:pPr>
    </w:p>
    <w:p w:rsidR="009D23B9" w:rsidRPr="009D23B9" w:rsidRDefault="009D23B9" w:rsidP="004768C4">
      <w:pPr>
        <w:pStyle w:val="IPCNormal"/>
        <w:numPr>
          <w:ilvl w:val="0"/>
          <w:numId w:val="29"/>
        </w:numPr>
        <w:spacing w:after="0"/>
        <w:rPr>
          <w:sz w:val="22"/>
        </w:rPr>
      </w:pPr>
      <w:r w:rsidRPr="009D23B9">
        <w:rPr>
          <w:sz w:val="22"/>
        </w:rPr>
        <w:t>Engage in rough, physical or sexually provocative games</w:t>
      </w:r>
    </w:p>
    <w:p w:rsidR="009D23B9" w:rsidRPr="009D23B9" w:rsidRDefault="009D23B9" w:rsidP="004768C4">
      <w:pPr>
        <w:pStyle w:val="IPCNormal"/>
        <w:numPr>
          <w:ilvl w:val="0"/>
          <w:numId w:val="29"/>
        </w:numPr>
        <w:spacing w:after="0"/>
        <w:rPr>
          <w:sz w:val="22"/>
        </w:rPr>
      </w:pPr>
      <w:r w:rsidRPr="009D23B9">
        <w:rPr>
          <w:sz w:val="22"/>
        </w:rPr>
        <w:t>Allow or engage in any form of inappropriate touching</w:t>
      </w:r>
    </w:p>
    <w:p w:rsidR="009D23B9" w:rsidRPr="009D23B9" w:rsidRDefault="009D23B9" w:rsidP="004768C4">
      <w:pPr>
        <w:pStyle w:val="IPCNormal"/>
        <w:numPr>
          <w:ilvl w:val="0"/>
          <w:numId w:val="29"/>
        </w:numPr>
        <w:spacing w:after="0"/>
        <w:rPr>
          <w:sz w:val="22"/>
        </w:rPr>
      </w:pPr>
      <w:r w:rsidRPr="009D23B9">
        <w:rPr>
          <w:sz w:val="22"/>
        </w:rPr>
        <w:t>Make sexually suggestive comments to a child / vulnerable adult, even in fun</w:t>
      </w:r>
    </w:p>
    <w:p w:rsidR="009D23B9" w:rsidRPr="009D23B9" w:rsidRDefault="009D23B9" w:rsidP="004768C4">
      <w:pPr>
        <w:pStyle w:val="IPCNormal"/>
        <w:numPr>
          <w:ilvl w:val="0"/>
          <w:numId w:val="29"/>
        </w:numPr>
        <w:spacing w:after="0"/>
        <w:rPr>
          <w:sz w:val="22"/>
        </w:rPr>
      </w:pPr>
      <w:r w:rsidRPr="009D23B9">
        <w:rPr>
          <w:sz w:val="22"/>
        </w:rPr>
        <w:t>Allow allegations made by a child / vulnerable adult to go unrecorded or not acted upon</w:t>
      </w:r>
    </w:p>
    <w:p w:rsidR="009D23B9" w:rsidRPr="009D23B9" w:rsidRDefault="009D23B9" w:rsidP="004768C4">
      <w:pPr>
        <w:pStyle w:val="IPCNormal"/>
        <w:numPr>
          <w:ilvl w:val="0"/>
          <w:numId w:val="29"/>
        </w:numPr>
        <w:spacing w:after="0"/>
        <w:rPr>
          <w:sz w:val="22"/>
        </w:rPr>
      </w:pPr>
      <w:r w:rsidRPr="009D23B9">
        <w:rPr>
          <w:sz w:val="22"/>
        </w:rPr>
        <w:t>Take children / vulnerable adults to your home where they will be alone with you</w:t>
      </w:r>
    </w:p>
    <w:p w:rsidR="009D23B9" w:rsidRPr="009D23B9" w:rsidRDefault="009D23B9" w:rsidP="009D23B9">
      <w:pPr>
        <w:pStyle w:val="IPCNormal"/>
        <w:spacing w:after="0"/>
        <w:ind w:left="360"/>
        <w:rPr>
          <w:sz w:val="22"/>
        </w:rPr>
      </w:pPr>
    </w:p>
    <w:p w:rsidR="009D23B9" w:rsidRPr="009D23B9" w:rsidRDefault="009D23B9" w:rsidP="00783ECF">
      <w:pPr>
        <w:pStyle w:val="IPCNormal"/>
        <w:spacing w:after="0"/>
        <w:ind w:left="360"/>
        <w:rPr>
          <w:sz w:val="22"/>
        </w:rPr>
      </w:pPr>
      <w:r w:rsidRPr="009D23B9">
        <w:rPr>
          <w:sz w:val="22"/>
        </w:rPr>
        <w:t xml:space="preserve">If any of the following occur you should report this immediately to </w:t>
      </w:r>
      <w:r w:rsidR="00783ECF" w:rsidRPr="009D23B9">
        <w:rPr>
          <w:sz w:val="22"/>
        </w:rPr>
        <w:t xml:space="preserve">the </w:t>
      </w:r>
      <w:r w:rsidR="00783ECF">
        <w:rPr>
          <w:sz w:val="22"/>
        </w:rPr>
        <w:t>Clerk of the Council or their Deputy, a Councillor, the Lead Volunteer</w:t>
      </w:r>
      <w:r w:rsidRPr="009D23B9">
        <w:rPr>
          <w:sz w:val="22"/>
        </w:rPr>
        <w:t xml:space="preserve"> and record the incident.  You should also ensure the parents</w:t>
      </w:r>
      <w:r w:rsidR="00783ECF">
        <w:rPr>
          <w:sz w:val="22"/>
        </w:rPr>
        <w:t>, guardians or</w:t>
      </w:r>
      <w:r w:rsidRPr="009D23B9">
        <w:rPr>
          <w:sz w:val="22"/>
        </w:rPr>
        <w:t xml:space="preserve"> carers are informed:</w:t>
      </w:r>
    </w:p>
    <w:p w:rsidR="009D23B9" w:rsidRPr="009D23B9" w:rsidRDefault="009D23B9" w:rsidP="009D23B9">
      <w:pPr>
        <w:pStyle w:val="IPCNormal"/>
        <w:spacing w:after="0"/>
        <w:ind w:left="360"/>
        <w:rPr>
          <w:sz w:val="22"/>
        </w:rPr>
      </w:pPr>
    </w:p>
    <w:p w:rsidR="009D23B9" w:rsidRPr="009D23B9" w:rsidRDefault="009D23B9" w:rsidP="004768C4">
      <w:pPr>
        <w:pStyle w:val="IPCNormal"/>
        <w:numPr>
          <w:ilvl w:val="0"/>
          <w:numId w:val="30"/>
        </w:numPr>
        <w:spacing w:after="0"/>
        <w:rPr>
          <w:sz w:val="22"/>
        </w:rPr>
      </w:pPr>
      <w:r w:rsidRPr="009D23B9">
        <w:rPr>
          <w:sz w:val="22"/>
        </w:rPr>
        <w:t>If you accidentally hurt a child / vulnerable adult</w:t>
      </w:r>
    </w:p>
    <w:p w:rsidR="009D23B9" w:rsidRPr="009D23B9" w:rsidRDefault="009D23B9" w:rsidP="004768C4">
      <w:pPr>
        <w:pStyle w:val="IPCNormal"/>
        <w:numPr>
          <w:ilvl w:val="0"/>
          <w:numId w:val="30"/>
        </w:numPr>
        <w:spacing w:after="0"/>
        <w:rPr>
          <w:sz w:val="22"/>
        </w:rPr>
      </w:pPr>
      <w:r w:rsidRPr="009D23B9">
        <w:rPr>
          <w:sz w:val="22"/>
        </w:rPr>
        <w:t>If a child / vulnerable adult seems distressed in any manner</w:t>
      </w:r>
    </w:p>
    <w:p w:rsidR="009D23B9" w:rsidRPr="009D23B9" w:rsidRDefault="009D23B9" w:rsidP="004768C4">
      <w:pPr>
        <w:pStyle w:val="IPCNormal"/>
        <w:numPr>
          <w:ilvl w:val="0"/>
          <w:numId w:val="30"/>
        </w:numPr>
        <w:spacing w:after="0"/>
        <w:rPr>
          <w:sz w:val="22"/>
        </w:rPr>
      </w:pPr>
      <w:r w:rsidRPr="009D23B9">
        <w:rPr>
          <w:sz w:val="22"/>
        </w:rPr>
        <w:t>If a child / vulnerable adult appears to be sexually aroused by your actions</w:t>
      </w:r>
    </w:p>
    <w:p w:rsidR="009D23B9" w:rsidRPr="009D23B9" w:rsidRDefault="009D23B9" w:rsidP="004768C4">
      <w:pPr>
        <w:pStyle w:val="IPCNormal"/>
        <w:numPr>
          <w:ilvl w:val="0"/>
          <w:numId w:val="30"/>
        </w:numPr>
        <w:spacing w:after="0"/>
        <w:rPr>
          <w:sz w:val="22"/>
        </w:rPr>
      </w:pPr>
      <w:r w:rsidRPr="009D23B9">
        <w:rPr>
          <w:sz w:val="22"/>
        </w:rPr>
        <w:t>If a child / vulnerable adult misunderstand or misinterprets something you have done</w:t>
      </w:r>
    </w:p>
    <w:p w:rsidR="009D23B9" w:rsidRPr="009D23B9" w:rsidRDefault="009D23B9" w:rsidP="009D23B9">
      <w:pPr>
        <w:pStyle w:val="IPCNormal"/>
        <w:spacing w:after="0"/>
        <w:ind w:left="360"/>
        <w:rPr>
          <w:sz w:val="22"/>
        </w:rPr>
      </w:pPr>
    </w:p>
    <w:p w:rsidR="009D23B9" w:rsidRPr="009D23B9" w:rsidRDefault="009D23B9" w:rsidP="009D23B9">
      <w:pPr>
        <w:pStyle w:val="IPCNormal"/>
        <w:spacing w:after="0"/>
        <w:ind w:left="360"/>
        <w:rPr>
          <w:sz w:val="22"/>
        </w:rPr>
      </w:pPr>
      <w:r w:rsidRPr="009D23B9">
        <w:rPr>
          <w:sz w:val="22"/>
        </w:rPr>
        <w:t>Further information and guidance can be found by clicking on the following links:</w:t>
      </w:r>
    </w:p>
    <w:p w:rsidR="009D23B9" w:rsidRPr="009D23B9" w:rsidRDefault="009D23B9" w:rsidP="009D23B9">
      <w:pPr>
        <w:pStyle w:val="IPCNormal"/>
        <w:spacing w:after="0"/>
        <w:ind w:left="360"/>
        <w:rPr>
          <w:sz w:val="22"/>
        </w:rPr>
      </w:pPr>
    </w:p>
    <w:p w:rsidR="009D23B9" w:rsidRPr="009D23B9" w:rsidRDefault="009D23B9" w:rsidP="009D23B9">
      <w:pPr>
        <w:pStyle w:val="IPCNormal"/>
        <w:spacing w:after="0"/>
        <w:ind w:left="360"/>
        <w:rPr>
          <w:sz w:val="22"/>
        </w:rPr>
      </w:pPr>
      <w:r w:rsidRPr="009D23B9">
        <w:rPr>
          <w:sz w:val="22"/>
        </w:rPr>
        <w:t>http://www.childrenengland.org.uk/upload/Guidance%20.pdf</w:t>
      </w:r>
    </w:p>
    <w:p w:rsidR="009D23B9" w:rsidRPr="009D23B9" w:rsidRDefault="009D23B9" w:rsidP="009D23B9">
      <w:pPr>
        <w:pStyle w:val="IPCNormal"/>
        <w:spacing w:after="0"/>
        <w:ind w:left="360"/>
        <w:rPr>
          <w:sz w:val="22"/>
        </w:rPr>
      </w:pPr>
    </w:p>
    <w:p w:rsidR="006620B5" w:rsidRPr="00AE4399" w:rsidRDefault="009D23B9" w:rsidP="009D23B9">
      <w:pPr>
        <w:pStyle w:val="IPCNormal"/>
        <w:spacing w:after="0"/>
        <w:ind w:left="360"/>
      </w:pPr>
      <w:r w:rsidRPr="009D23B9">
        <w:rPr>
          <w:sz w:val="22"/>
        </w:rPr>
        <w:t>https://www.gov.uk/government/organisations/disclosure-and-barring-service</w:t>
      </w:r>
    </w:p>
    <w:sectPr w:rsidR="006620B5" w:rsidRPr="00AE4399" w:rsidSect="001E1B2C">
      <w:type w:val="continuous"/>
      <w:pgSz w:w="11906" w:h="16838"/>
      <w:pgMar w:top="1440" w:right="720" w:bottom="1134" w:left="720" w:header="709"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C3" w:rsidRDefault="004C67C3" w:rsidP="00110B39">
      <w:pPr>
        <w:spacing w:after="0" w:line="240" w:lineRule="auto"/>
      </w:pPr>
      <w:r>
        <w:separator/>
      </w:r>
    </w:p>
  </w:endnote>
  <w:endnote w:type="continuationSeparator" w:id="0">
    <w:p w:rsidR="004C67C3" w:rsidRDefault="004C67C3" w:rsidP="0011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A2" w:rsidRDefault="002C7FA2">
    <w:pPr>
      <w:pStyle w:val="Footer"/>
    </w:pPr>
    <w:r>
      <w:t>Adopted 14</w:t>
    </w:r>
    <w:r w:rsidRPr="002C7FA2">
      <w:rPr>
        <w:vertAlign w:val="superscript"/>
      </w:rPr>
      <w:t>th</w:t>
    </w:r>
    <w:r>
      <w:t xml:space="preserve"> December 2015</w:t>
    </w:r>
    <w:r w:rsidR="00590F7D">
      <w:t xml:space="preserve"> reviewed annually, May 2019</w:t>
    </w:r>
  </w:p>
  <w:p w:rsidR="00991792" w:rsidRDefault="00991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C3" w:rsidRDefault="004C67C3" w:rsidP="00110B39">
      <w:pPr>
        <w:spacing w:after="0" w:line="240" w:lineRule="auto"/>
      </w:pPr>
      <w:r>
        <w:separator/>
      </w:r>
    </w:p>
  </w:footnote>
  <w:footnote w:type="continuationSeparator" w:id="0">
    <w:p w:rsidR="004C67C3" w:rsidRDefault="004C67C3" w:rsidP="0011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39" w:rsidRPr="00921DE9" w:rsidRDefault="00110B39" w:rsidP="00110B39">
    <w:pPr>
      <w:spacing w:after="0" w:line="120" w:lineRule="atLeast"/>
      <w:rPr>
        <w:rFonts w:ascii="Arial" w:hAnsi="Arial" w:cs="Arial"/>
        <w:b/>
        <w:kern w:val="2"/>
        <w:sz w:val="43"/>
        <w:szCs w:val="43"/>
      </w:rPr>
    </w:pPr>
    <w:r w:rsidRPr="0006560C">
      <w:rPr>
        <w:rFonts w:ascii="Arial" w:hAnsi="Arial" w:cs="Arial"/>
        <w:b/>
        <w:kern w:val="2"/>
        <w:sz w:val="41"/>
        <w:szCs w:val="41"/>
      </w:rPr>
      <w:t>Icklesham Parish Council</w:t>
    </w:r>
  </w:p>
  <w:p w:rsidR="00110B39" w:rsidRPr="00D05615" w:rsidRDefault="00110B39" w:rsidP="00110B39">
    <w:pPr>
      <w:pStyle w:val="Title"/>
      <w:pBdr>
        <w:bottom w:val="single" w:sz="4" w:space="1" w:color="auto"/>
      </w:pBdr>
      <w:spacing w:line="120" w:lineRule="atLeast"/>
      <w:ind w:left="0" w:firstLine="0"/>
      <w:rPr>
        <w:rFonts w:ascii="Arial" w:hAnsi="Arial" w:cs="Arial"/>
        <w:sz w:val="36"/>
      </w:rPr>
    </w:pPr>
    <w:r w:rsidRPr="00921DE9">
      <w:rPr>
        <w:rFonts w:ascii="Arial" w:hAnsi="Arial" w:cs="Arial"/>
        <w:b/>
        <w:kern w:val="2"/>
        <w:sz w:val="32"/>
      </w:rPr>
      <w:t>Putting Governance in your hands</w:t>
    </w:r>
  </w:p>
  <w:p w:rsidR="00FC734F" w:rsidRDefault="00FC7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200536"/>
    <w:multiLevelType w:val="hybridMultilevel"/>
    <w:tmpl w:val="ADEF4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B5E940"/>
    <w:multiLevelType w:val="hybridMultilevel"/>
    <w:tmpl w:val="88FCE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3ACBE1"/>
    <w:multiLevelType w:val="hybridMultilevel"/>
    <w:tmpl w:val="D0DC78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06C57F"/>
    <w:multiLevelType w:val="hybridMultilevel"/>
    <w:tmpl w:val="183A9D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7B6DE7"/>
    <w:multiLevelType w:val="hybridMultilevel"/>
    <w:tmpl w:val="1F9AD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A49BE"/>
    <w:multiLevelType w:val="hybridMultilevel"/>
    <w:tmpl w:val="7C52F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9B4"/>
    <w:multiLevelType w:val="multilevel"/>
    <w:tmpl w:val="331040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BD1DC4"/>
    <w:multiLevelType w:val="hybridMultilevel"/>
    <w:tmpl w:val="34D41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BD4BA8"/>
    <w:multiLevelType w:val="hybridMultilevel"/>
    <w:tmpl w:val="7AA22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333C68"/>
    <w:multiLevelType w:val="hybridMultilevel"/>
    <w:tmpl w:val="49AA5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64D6B"/>
    <w:multiLevelType w:val="hybridMultilevel"/>
    <w:tmpl w:val="A9FEF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10C19B"/>
    <w:multiLevelType w:val="hybridMultilevel"/>
    <w:tmpl w:val="2892A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605B56"/>
    <w:multiLevelType w:val="hybridMultilevel"/>
    <w:tmpl w:val="A4ACC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C2CFB"/>
    <w:multiLevelType w:val="hybridMultilevel"/>
    <w:tmpl w:val="C5084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2172B7"/>
    <w:multiLevelType w:val="hybridMultilevel"/>
    <w:tmpl w:val="A83FD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491A0B"/>
    <w:multiLevelType w:val="multilevel"/>
    <w:tmpl w:val="B1C2E5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9F51F10"/>
    <w:multiLevelType w:val="hybridMultilevel"/>
    <w:tmpl w:val="D616C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D2150"/>
    <w:multiLevelType w:val="hybridMultilevel"/>
    <w:tmpl w:val="86D4FD5C"/>
    <w:lvl w:ilvl="0" w:tplc="CE6ED51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42BB66"/>
    <w:multiLevelType w:val="hybridMultilevel"/>
    <w:tmpl w:val="A9EE16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6B526A"/>
    <w:multiLevelType w:val="hybridMultilevel"/>
    <w:tmpl w:val="9C56D1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6F674F"/>
    <w:multiLevelType w:val="hybridMultilevel"/>
    <w:tmpl w:val="D269F3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635D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6999"/>
    <w:multiLevelType w:val="hybridMultilevel"/>
    <w:tmpl w:val="B97AEE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3783112"/>
    <w:multiLevelType w:val="hybridMultilevel"/>
    <w:tmpl w:val="635E9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A2CB3"/>
    <w:multiLevelType w:val="hybridMultilevel"/>
    <w:tmpl w:val="F5008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2C77EC"/>
    <w:multiLevelType w:val="hybridMultilevel"/>
    <w:tmpl w:val="DCCA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ADA5BC1"/>
    <w:multiLevelType w:val="hybridMultilevel"/>
    <w:tmpl w:val="32E8A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5A1CD2"/>
    <w:multiLevelType w:val="multilevel"/>
    <w:tmpl w:val="331040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EE612AA"/>
    <w:multiLevelType w:val="hybridMultilevel"/>
    <w:tmpl w:val="616033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FE370DA"/>
    <w:multiLevelType w:val="hybridMultilevel"/>
    <w:tmpl w:val="5B9CF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21"/>
  </w:num>
  <w:num w:numId="4">
    <w:abstractNumId w:val="4"/>
  </w:num>
  <w:num w:numId="5">
    <w:abstractNumId w:val="6"/>
  </w:num>
  <w:num w:numId="6">
    <w:abstractNumId w:val="27"/>
  </w:num>
  <w:num w:numId="7">
    <w:abstractNumId w:val="12"/>
  </w:num>
  <w:num w:numId="8">
    <w:abstractNumId w:val="18"/>
  </w:num>
  <w:num w:numId="9">
    <w:abstractNumId w:val="0"/>
  </w:num>
  <w:num w:numId="10">
    <w:abstractNumId w:val="20"/>
  </w:num>
  <w:num w:numId="11">
    <w:abstractNumId w:val="2"/>
  </w:num>
  <w:num w:numId="12">
    <w:abstractNumId w:val="1"/>
  </w:num>
  <w:num w:numId="13">
    <w:abstractNumId w:val="14"/>
  </w:num>
  <w:num w:numId="14">
    <w:abstractNumId w:val="19"/>
  </w:num>
  <w:num w:numId="15">
    <w:abstractNumId w:val="26"/>
  </w:num>
  <w:num w:numId="16">
    <w:abstractNumId w:val="11"/>
  </w:num>
  <w:num w:numId="17">
    <w:abstractNumId w:val="3"/>
  </w:num>
  <w:num w:numId="18">
    <w:abstractNumId w:val="29"/>
  </w:num>
  <w:num w:numId="19">
    <w:abstractNumId w:val="9"/>
  </w:num>
  <w:num w:numId="20">
    <w:abstractNumId w:val="16"/>
  </w:num>
  <w:num w:numId="21">
    <w:abstractNumId w:val="17"/>
  </w:num>
  <w:num w:numId="22">
    <w:abstractNumId w:val="10"/>
  </w:num>
  <w:num w:numId="23">
    <w:abstractNumId w:val="13"/>
  </w:num>
  <w:num w:numId="24">
    <w:abstractNumId w:val="28"/>
  </w:num>
  <w:num w:numId="25">
    <w:abstractNumId w:val="22"/>
  </w:num>
  <w:num w:numId="26">
    <w:abstractNumId w:val="25"/>
  </w:num>
  <w:num w:numId="27">
    <w:abstractNumId w:val="7"/>
  </w:num>
  <w:num w:numId="28">
    <w:abstractNumId w:val="23"/>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39"/>
    <w:rsid w:val="00004C02"/>
    <w:rsid w:val="000141EA"/>
    <w:rsid w:val="00042991"/>
    <w:rsid w:val="00061C2E"/>
    <w:rsid w:val="0006530F"/>
    <w:rsid w:val="00076F86"/>
    <w:rsid w:val="000B51E8"/>
    <w:rsid w:val="000B704A"/>
    <w:rsid w:val="000C356D"/>
    <w:rsid w:val="000C451D"/>
    <w:rsid w:val="0010002E"/>
    <w:rsid w:val="00110565"/>
    <w:rsid w:val="00110B39"/>
    <w:rsid w:val="00124DFB"/>
    <w:rsid w:val="001369BE"/>
    <w:rsid w:val="001379DC"/>
    <w:rsid w:val="00153168"/>
    <w:rsid w:val="001538F1"/>
    <w:rsid w:val="00153B9F"/>
    <w:rsid w:val="001628BE"/>
    <w:rsid w:val="00167F05"/>
    <w:rsid w:val="00184DA7"/>
    <w:rsid w:val="001B5C7A"/>
    <w:rsid w:val="001C3DDF"/>
    <w:rsid w:val="001E1B2C"/>
    <w:rsid w:val="00212D1A"/>
    <w:rsid w:val="00215ED7"/>
    <w:rsid w:val="00232C2A"/>
    <w:rsid w:val="002438D0"/>
    <w:rsid w:val="0025154C"/>
    <w:rsid w:val="00252B5D"/>
    <w:rsid w:val="002732EE"/>
    <w:rsid w:val="002849EF"/>
    <w:rsid w:val="0028772C"/>
    <w:rsid w:val="002A62ED"/>
    <w:rsid w:val="002B6C14"/>
    <w:rsid w:val="002C7FA2"/>
    <w:rsid w:val="002D668E"/>
    <w:rsid w:val="00315B90"/>
    <w:rsid w:val="00317D16"/>
    <w:rsid w:val="00325DBF"/>
    <w:rsid w:val="00327E4C"/>
    <w:rsid w:val="00331281"/>
    <w:rsid w:val="003413C5"/>
    <w:rsid w:val="00341F5C"/>
    <w:rsid w:val="003476F3"/>
    <w:rsid w:val="003732D3"/>
    <w:rsid w:val="00393734"/>
    <w:rsid w:val="003D2678"/>
    <w:rsid w:val="0040405E"/>
    <w:rsid w:val="00442240"/>
    <w:rsid w:val="004459F4"/>
    <w:rsid w:val="004768C4"/>
    <w:rsid w:val="004961B9"/>
    <w:rsid w:val="004B28BD"/>
    <w:rsid w:val="004B489B"/>
    <w:rsid w:val="004C0D30"/>
    <w:rsid w:val="004C67C3"/>
    <w:rsid w:val="004E5537"/>
    <w:rsid w:val="004F257F"/>
    <w:rsid w:val="00500AD9"/>
    <w:rsid w:val="0050101D"/>
    <w:rsid w:val="005146BB"/>
    <w:rsid w:val="0051597D"/>
    <w:rsid w:val="0051652B"/>
    <w:rsid w:val="00527F41"/>
    <w:rsid w:val="00531015"/>
    <w:rsid w:val="00552F8C"/>
    <w:rsid w:val="00585CE4"/>
    <w:rsid w:val="00590F7D"/>
    <w:rsid w:val="005914A4"/>
    <w:rsid w:val="005A172A"/>
    <w:rsid w:val="005A7F4F"/>
    <w:rsid w:val="005B1457"/>
    <w:rsid w:val="005B377C"/>
    <w:rsid w:val="005C56F5"/>
    <w:rsid w:val="005F45DD"/>
    <w:rsid w:val="00614304"/>
    <w:rsid w:val="00622D4C"/>
    <w:rsid w:val="00627E26"/>
    <w:rsid w:val="00630EC8"/>
    <w:rsid w:val="00636EDC"/>
    <w:rsid w:val="00651483"/>
    <w:rsid w:val="006620B5"/>
    <w:rsid w:val="0066390D"/>
    <w:rsid w:val="00664F61"/>
    <w:rsid w:val="00670D76"/>
    <w:rsid w:val="0069308D"/>
    <w:rsid w:val="006A25EC"/>
    <w:rsid w:val="006A7093"/>
    <w:rsid w:val="006B5B4F"/>
    <w:rsid w:val="006D4944"/>
    <w:rsid w:val="006E0948"/>
    <w:rsid w:val="006E17D2"/>
    <w:rsid w:val="0074471A"/>
    <w:rsid w:val="0078064D"/>
    <w:rsid w:val="00783ECF"/>
    <w:rsid w:val="00792246"/>
    <w:rsid w:val="00796D8F"/>
    <w:rsid w:val="007A04F3"/>
    <w:rsid w:val="007C3B77"/>
    <w:rsid w:val="007D03DF"/>
    <w:rsid w:val="00831CF5"/>
    <w:rsid w:val="00837CB3"/>
    <w:rsid w:val="00842E7E"/>
    <w:rsid w:val="008457F3"/>
    <w:rsid w:val="00851C00"/>
    <w:rsid w:val="00854C00"/>
    <w:rsid w:val="0087334F"/>
    <w:rsid w:val="0088675C"/>
    <w:rsid w:val="008B53ED"/>
    <w:rsid w:val="008F7630"/>
    <w:rsid w:val="008F7666"/>
    <w:rsid w:val="00915469"/>
    <w:rsid w:val="00921044"/>
    <w:rsid w:val="00945002"/>
    <w:rsid w:val="00945457"/>
    <w:rsid w:val="00982FFE"/>
    <w:rsid w:val="00991792"/>
    <w:rsid w:val="009D23B9"/>
    <w:rsid w:val="009E0AF7"/>
    <w:rsid w:val="009E22CE"/>
    <w:rsid w:val="00A43027"/>
    <w:rsid w:val="00A5718A"/>
    <w:rsid w:val="00AB4D02"/>
    <w:rsid w:val="00AC1E01"/>
    <w:rsid w:val="00AE4399"/>
    <w:rsid w:val="00AF780A"/>
    <w:rsid w:val="00B0311D"/>
    <w:rsid w:val="00B134C3"/>
    <w:rsid w:val="00B5523C"/>
    <w:rsid w:val="00B65B0C"/>
    <w:rsid w:val="00B77693"/>
    <w:rsid w:val="00B957D7"/>
    <w:rsid w:val="00BA20A9"/>
    <w:rsid w:val="00BA3D42"/>
    <w:rsid w:val="00BB736E"/>
    <w:rsid w:val="00BC0D4E"/>
    <w:rsid w:val="00BC5224"/>
    <w:rsid w:val="00BD0A64"/>
    <w:rsid w:val="00BD6306"/>
    <w:rsid w:val="00BE20EE"/>
    <w:rsid w:val="00C05297"/>
    <w:rsid w:val="00C13BCD"/>
    <w:rsid w:val="00C27D7B"/>
    <w:rsid w:val="00CB3078"/>
    <w:rsid w:val="00CB68F0"/>
    <w:rsid w:val="00D13C02"/>
    <w:rsid w:val="00D15692"/>
    <w:rsid w:val="00D404F1"/>
    <w:rsid w:val="00D60506"/>
    <w:rsid w:val="00D61F3F"/>
    <w:rsid w:val="00D71552"/>
    <w:rsid w:val="00D8167F"/>
    <w:rsid w:val="00D83770"/>
    <w:rsid w:val="00DA5779"/>
    <w:rsid w:val="00DA7A03"/>
    <w:rsid w:val="00DB1EF4"/>
    <w:rsid w:val="00DB482C"/>
    <w:rsid w:val="00DF59C0"/>
    <w:rsid w:val="00E10CB6"/>
    <w:rsid w:val="00E2149D"/>
    <w:rsid w:val="00E257E5"/>
    <w:rsid w:val="00E556E9"/>
    <w:rsid w:val="00E72662"/>
    <w:rsid w:val="00E736AB"/>
    <w:rsid w:val="00E86690"/>
    <w:rsid w:val="00E87455"/>
    <w:rsid w:val="00EA14FE"/>
    <w:rsid w:val="00EA714B"/>
    <w:rsid w:val="00EB6647"/>
    <w:rsid w:val="00F12ED6"/>
    <w:rsid w:val="00F77E07"/>
    <w:rsid w:val="00F823D1"/>
    <w:rsid w:val="00F954A8"/>
    <w:rsid w:val="00FC734F"/>
    <w:rsid w:val="00FD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52E0"/>
  <w15:docId w15:val="{FEF57CB2-AF38-4DEC-A825-C78C2A80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2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33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B39"/>
  </w:style>
  <w:style w:type="paragraph" w:styleId="Footer">
    <w:name w:val="footer"/>
    <w:basedOn w:val="Normal"/>
    <w:link w:val="FooterChar"/>
    <w:uiPriority w:val="99"/>
    <w:unhideWhenUsed/>
    <w:rsid w:val="00110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B39"/>
  </w:style>
  <w:style w:type="paragraph" w:styleId="Title">
    <w:name w:val="Title"/>
    <w:basedOn w:val="Normal"/>
    <w:next w:val="Normal"/>
    <w:link w:val="TitleChar"/>
    <w:uiPriority w:val="10"/>
    <w:qFormat/>
    <w:rsid w:val="00110B39"/>
    <w:pPr>
      <w:spacing w:after="0" w:line="240" w:lineRule="auto"/>
      <w:ind w:left="1090" w:hanging="577"/>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10B39"/>
    <w:rPr>
      <w:rFonts w:asciiTheme="majorHAnsi" w:eastAsiaTheme="majorEastAsia" w:hAnsiTheme="majorHAnsi" w:cstheme="majorBidi"/>
      <w:spacing w:val="-10"/>
      <w:kern w:val="28"/>
      <w:sz w:val="56"/>
      <w:szCs w:val="56"/>
      <w:lang w:eastAsia="en-GB"/>
    </w:rPr>
  </w:style>
  <w:style w:type="paragraph" w:customStyle="1" w:styleId="IPCHeading1">
    <w:name w:val="IPC Heading 1"/>
    <w:basedOn w:val="Heading1"/>
    <w:next w:val="Normal"/>
    <w:link w:val="IPCHeading1Char"/>
    <w:qFormat/>
    <w:rsid w:val="0087334F"/>
    <w:pPr>
      <w:spacing w:before="120" w:after="120"/>
    </w:pPr>
    <w:rPr>
      <w:rFonts w:ascii="Arial" w:hAnsi="Arial"/>
      <w:b/>
      <w:color w:val="auto"/>
    </w:rPr>
  </w:style>
  <w:style w:type="paragraph" w:customStyle="1" w:styleId="IPCTitle">
    <w:name w:val="IPC Title"/>
    <w:basedOn w:val="Title"/>
    <w:link w:val="IPCTitleChar"/>
    <w:qFormat/>
    <w:rsid w:val="00F823D1"/>
    <w:pPr>
      <w:ind w:left="577"/>
    </w:pPr>
    <w:rPr>
      <w:rFonts w:ascii="Arial" w:hAnsi="Arial"/>
      <w:b/>
    </w:rPr>
  </w:style>
  <w:style w:type="character" w:customStyle="1" w:styleId="Heading1Char">
    <w:name w:val="Heading 1 Char"/>
    <w:basedOn w:val="DefaultParagraphFont"/>
    <w:link w:val="Heading1"/>
    <w:uiPriority w:val="9"/>
    <w:rsid w:val="00F823D1"/>
    <w:rPr>
      <w:rFonts w:asciiTheme="majorHAnsi" w:eastAsiaTheme="majorEastAsia" w:hAnsiTheme="majorHAnsi" w:cstheme="majorBidi"/>
      <w:color w:val="2E74B5" w:themeColor="accent1" w:themeShade="BF"/>
      <w:sz w:val="32"/>
      <w:szCs w:val="32"/>
    </w:rPr>
  </w:style>
  <w:style w:type="character" w:customStyle="1" w:styleId="IPCHeading1Char">
    <w:name w:val="IPC Heading 1 Char"/>
    <w:basedOn w:val="Heading1Char"/>
    <w:link w:val="IPCHeading1"/>
    <w:rsid w:val="0087334F"/>
    <w:rPr>
      <w:rFonts w:ascii="Arial" w:eastAsiaTheme="majorEastAsia" w:hAnsi="Arial" w:cstheme="majorBidi"/>
      <w:b/>
      <w:color w:val="2E74B5" w:themeColor="accent1" w:themeShade="BF"/>
      <w:sz w:val="32"/>
      <w:szCs w:val="32"/>
    </w:rPr>
  </w:style>
  <w:style w:type="paragraph" w:customStyle="1" w:styleId="IPCHeading2">
    <w:name w:val="IPC Heading 2"/>
    <w:basedOn w:val="Heading2"/>
    <w:link w:val="IPCHeading2Char"/>
    <w:qFormat/>
    <w:rsid w:val="00F823D1"/>
    <w:rPr>
      <w:rFonts w:ascii="Arial" w:hAnsi="Arial"/>
      <w:b/>
      <w:color w:val="auto"/>
      <w:sz w:val="28"/>
    </w:rPr>
  </w:style>
  <w:style w:type="character" w:customStyle="1" w:styleId="IPCTitleChar">
    <w:name w:val="IPC Title Char"/>
    <w:basedOn w:val="TitleChar"/>
    <w:link w:val="IPCTitle"/>
    <w:rsid w:val="00F823D1"/>
    <w:rPr>
      <w:rFonts w:ascii="Arial" w:eastAsiaTheme="majorEastAsia" w:hAnsi="Arial" w:cstheme="majorBidi"/>
      <w:b/>
      <w:spacing w:val="-10"/>
      <w:kern w:val="28"/>
      <w:sz w:val="56"/>
      <w:szCs w:val="56"/>
      <w:lang w:eastAsia="en-GB"/>
    </w:rPr>
  </w:style>
  <w:style w:type="paragraph" w:customStyle="1" w:styleId="IPCHeading3">
    <w:name w:val="IPC Heading 3"/>
    <w:basedOn w:val="Heading3"/>
    <w:link w:val="IPCHeading3Char"/>
    <w:qFormat/>
    <w:rsid w:val="0087334F"/>
    <w:rPr>
      <w:rFonts w:ascii="Arial" w:hAnsi="Arial"/>
      <w:color w:val="auto"/>
    </w:rPr>
  </w:style>
  <w:style w:type="character" w:customStyle="1" w:styleId="Heading2Char">
    <w:name w:val="Heading 2 Char"/>
    <w:basedOn w:val="DefaultParagraphFont"/>
    <w:link w:val="Heading2"/>
    <w:uiPriority w:val="9"/>
    <w:semiHidden/>
    <w:rsid w:val="00F823D1"/>
    <w:rPr>
      <w:rFonts w:asciiTheme="majorHAnsi" w:eastAsiaTheme="majorEastAsia" w:hAnsiTheme="majorHAnsi" w:cstheme="majorBidi"/>
      <w:color w:val="2E74B5" w:themeColor="accent1" w:themeShade="BF"/>
      <w:sz w:val="26"/>
      <w:szCs w:val="26"/>
    </w:rPr>
  </w:style>
  <w:style w:type="character" w:customStyle="1" w:styleId="IPCHeading2Char">
    <w:name w:val="IPC Heading 2 Char"/>
    <w:basedOn w:val="Heading2Char"/>
    <w:link w:val="IPCHeading2"/>
    <w:rsid w:val="00F823D1"/>
    <w:rPr>
      <w:rFonts w:ascii="Arial" w:eastAsiaTheme="majorEastAsia" w:hAnsi="Arial" w:cstheme="majorBidi"/>
      <w:b/>
      <w:color w:val="2E74B5" w:themeColor="accent1" w:themeShade="BF"/>
      <w:sz w:val="28"/>
      <w:szCs w:val="26"/>
    </w:rPr>
  </w:style>
  <w:style w:type="paragraph" w:customStyle="1" w:styleId="IPCNormal">
    <w:name w:val="IPC Normal"/>
    <w:basedOn w:val="Normal"/>
    <w:link w:val="IPCNormalChar"/>
    <w:qFormat/>
    <w:rsid w:val="0087334F"/>
    <w:rPr>
      <w:rFonts w:ascii="Arial" w:hAnsi="Arial"/>
      <w:sz w:val="24"/>
      <w:lang w:eastAsia="en-GB"/>
    </w:rPr>
  </w:style>
  <w:style w:type="character" w:customStyle="1" w:styleId="Heading3Char">
    <w:name w:val="Heading 3 Char"/>
    <w:basedOn w:val="DefaultParagraphFont"/>
    <w:link w:val="Heading3"/>
    <w:uiPriority w:val="9"/>
    <w:semiHidden/>
    <w:rsid w:val="0087334F"/>
    <w:rPr>
      <w:rFonts w:asciiTheme="majorHAnsi" w:eastAsiaTheme="majorEastAsia" w:hAnsiTheme="majorHAnsi" w:cstheme="majorBidi"/>
      <w:color w:val="1F4D78" w:themeColor="accent1" w:themeShade="7F"/>
      <w:sz w:val="24"/>
      <w:szCs w:val="24"/>
    </w:rPr>
  </w:style>
  <w:style w:type="character" w:customStyle="1" w:styleId="IPCHeading3Char">
    <w:name w:val="IPC Heading 3 Char"/>
    <w:basedOn w:val="Heading3Char"/>
    <w:link w:val="IPCHeading3"/>
    <w:rsid w:val="0087334F"/>
    <w:rPr>
      <w:rFonts w:ascii="Arial" w:eastAsiaTheme="majorEastAsia" w:hAnsi="Arial" w:cstheme="majorBidi"/>
      <w:color w:val="1F4D78" w:themeColor="accent1" w:themeShade="7F"/>
      <w:sz w:val="24"/>
      <w:szCs w:val="24"/>
    </w:rPr>
  </w:style>
  <w:style w:type="table" w:styleId="TableGrid">
    <w:name w:val="Table Grid"/>
    <w:basedOn w:val="TableNormal"/>
    <w:uiPriority w:val="39"/>
    <w:rsid w:val="00DF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CNormalChar">
    <w:name w:val="IPC Normal Char"/>
    <w:basedOn w:val="DefaultParagraphFont"/>
    <w:link w:val="IPCNormal"/>
    <w:rsid w:val="0087334F"/>
    <w:rPr>
      <w:rFonts w:ascii="Arial" w:hAnsi="Arial"/>
      <w:sz w:val="24"/>
      <w:lang w:eastAsia="en-GB"/>
    </w:rPr>
  </w:style>
  <w:style w:type="paragraph" w:styleId="ListParagraph">
    <w:name w:val="List Paragraph"/>
    <w:basedOn w:val="Normal"/>
    <w:uiPriority w:val="34"/>
    <w:qFormat/>
    <w:rsid w:val="00DF59C0"/>
    <w:pPr>
      <w:ind w:left="720"/>
      <w:contextualSpacing/>
    </w:pPr>
  </w:style>
  <w:style w:type="paragraph" w:customStyle="1" w:styleId="Default">
    <w:name w:val="Default"/>
    <w:rsid w:val="006620B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6620B5"/>
    <w:rPr>
      <w:color w:val="auto"/>
    </w:rPr>
  </w:style>
  <w:style w:type="paragraph" w:styleId="BalloonText">
    <w:name w:val="Balloon Text"/>
    <w:basedOn w:val="Normal"/>
    <w:link w:val="BalloonTextChar"/>
    <w:uiPriority w:val="99"/>
    <w:semiHidden/>
    <w:unhideWhenUsed/>
    <w:rsid w:val="002C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BBB5-9E34-4B92-9965-E727E7A2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 Harbour Stores</dc:creator>
  <cp:lastModifiedBy>Anna Evett</cp:lastModifiedBy>
  <cp:revision>2</cp:revision>
  <cp:lastPrinted>2019-05-13T10:59:00Z</cp:lastPrinted>
  <dcterms:created xsi:type="dcterms:W3CDTF">2019-05-13T10:59:00Z</dcterms:created>
  <dcterms:modified xsi:type="dcterms:W3CDTF">2019-05-13T10:59:00Z</dcterms:modified>
</cp:coreProperties>
</file>