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5913" w14:textId="007704A7" w:rsidR="001558FD" w:rsidRPr="00AB4BD6" w:rsidRDefault="001558FD" w:rsidP="00560228">
      <w:pPr>
        <w:pStyle w:val="Header"/>
        <w:jc w:val="center"/>
        <w:rPr>
          <w:rFonts w:ascii="Aptos" w:hAnsi="Aptos"/>
          <w:b/>
          <w:bCs/>
          <w:sz w:val="28"/>
          <w:szCs w:val="28"/>
        </w:rPr>
      </w:pPr>
      <w:r w:rsidRPr="00AB4BD6">
        <w:rPr>
          <w:rFonts w:ascii="Aptos" w:hAnsi="Aptos"/>
          <w:b/>
          <w:bCs/>
          <w:sz w:val="28"/>
          <w:szCs w:val="28"/>
        </w:rPr>
        <w:t xml:space="preserve">SUMMARY OF PLANNING APPLICATIONS </w:t>
      </w:r>
      <w:r w:rsidR="00003C30" w:rsidRPr="00AB4BD6">
        <w:rPr>
          <w:rFonts w:ascii="Aptos" w:hAnsi="Aptos"/>
          <w:b/>
          <w:bCs/>
          <w:sz w:val="28"/>
          <w:szCs w:val="28"/>
        </w:rPr>
        <w:t xml:space="preserve">WITHIN BRIGHTLING PARISH </w:t>
      </w:r>
      <w:r w:rsidRPr="00AB4BD6">
        <w:rPr>
          <w:rFonts w:ascii="Aptos" w:hAnsi="Aptos"/>
          <w:b/>
          <w:bCs/>
          <w:sz w:val="28"/>
          <w:szCs w:val="28"/>
        </w:rPr>
        <w:t>202</w:t>
      </w:r>
      <w:r w:rsidR="002069B2">
        <w:rPr>
          <w:rFonts w:ascii="Aptos" w:hAnsi="Aptos"/>
          <w:b/>
          <w:bCs/>
          <w:sz w:val="28"/>
          <w:szCs w:val="28"/>
        </w:rPr>
        <w:t>5</w:t>
      </w:r>
      <w:r w:rsidRPr="00AB4BD6">
        <w:rPr>
          <w:rFonts w:ascii="Aptos" w:hAnsi="Aptos"/>
          <w:b/>
          <w:bCs/>
          <w:sz w:val="28"/>
          <w:szCs w:val="28"/>
        </w:rPr>
        <w:t>/’2</w:t>
      </w:r>
      <w:r w:rsidR="002069B2">
        <w:rPr>
          <w:rFonts w:ascii="Aptos" w:hAnsi="Aptos"/>
          <w:b/>
          <w:bCs/>
          <w:sz w:val="28"/>
          <w:szCs w:val="28"/>
        </w:rPr>
        <w:t>6</w:t>
      </w:r>
    </w:p>
    <w:p w14:paraId="7F99D71F" w14:textId="690A1C1E" w:rsidR="00202094" w:rsidRPr="00AB4BD6" w:rsidRDefault="00202094">
      <w:pPr>
        <w:rPr>
          <w:rFonts w:ascii="Aptos" w:hAnsi="Aptos"/>
        </w:rPr>
      </w:pPr>
    </w:p>
    <w:tbl>
      <w:tblPr>
        <w:tblStyle w:val="TableGrid"/>
        <w:tblW w:w="15390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268"/>
        <w:gridCol w:w="1843"/>
        <w:gridCol w:w="7315"/>
      </w:tblGrid>
      <w:tr w:rsidR="00510ED2" w:rsidRPr="00AB4BD6" w14:paraId="4D7EB0CE" w14:textId="77777777" w:rsidTr="00B47B34">
        <w:trPr>
          <w:trHeight w:val="247"/>
        </w:trPr>
        <w:tc>
          <w:tcPr>
            <w:tcW w:w="2122" w:type="dxa"/>
          </w:tcPr>
          <w:p w14:paraId="59039F39" w14:textId="1437BE7A" w:rsidR="001558FD" w:rsidRPr="00AB4BD6" w:rsidRDefault="001558FD" w:rsidP="00510ED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B4BD6">
              <w:rPr>
                <w:rFonts w:ascii="Aptos" w:hAnsi="Aptos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1842" w:type="dxa"/>
          </w:tcPr>
          <w:p w14:paraId="7B00401F" w14:textId="3992F85B" w:rsidR="001558FD" w:rsidRPr="00AB4BD6" w:rsidRDefault="001558FD" w:rsidP="00510ED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B4BD6">
              <w:rPr>
                <w:rFonts w:ascii="Aptos" w:hAnsi="Aptos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268" w:type="dxa"/>
          </w:tcPr>
          <w:p w14:paraId="53A8CD1D" w14:textId="564E9113" w:rsidR="001558FD" w:rsidRPr="00AB4BD6" w:rsidRDefault="001558FD" w:rsidP="00510ED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B4BD6">
              <w:rPr>
                <w:rFonts w:ascii="Aptos" w:hAnsi="Aptos"/>
                <w:b/>
                <w:bCs/>
                <w:sz w:val="24"/>
                <w:szCs w:val="24"/>
              </w:rPr>
              <w:t>Proposal</w:t>
            </w:r>
          </w:p>
        </w:tc>
        <w:tc>
          <w:tcPr>
            <w:tcW w:w="1843" w:type="dxa"/>
          </w:tcPr>
          <w:p w14:paraId="0DD1A216" w14:textId="165AF106" w:rsidR="001558FD" w:rsidRPr="00AB4BD6" w:rsidRDefault="00510ED2" w:rsidP="00510ED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B4BD6">
              <w:rPr>
                <w:rFonts w:ascii="Aptos" w:hAnsi="Aptos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7315" w:type="dxa"/>
          </w:tcPr>
          <w:p w14:paraId="3E43E395" w14:textId="4A0B3034" w:rsidR="001558FD" w:rsidRPr="00AB4BD6" w:rsidRDefault="001558FD" w:rsidP="00510ED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B4BD6">
              <w:rPr>
                <w:rFonts w:ascii="Aptos" w:hAnsi="Aptos"/>
                <w:b/>
                <w:bCs/>
                <w:sz w:val="24"/>
                <w:szCs w:val="24"/>
              </w:rPr>
              <w:t xml:space="preserve">PC </w:t>
            </w:r>
            <w:r w:rsidR="00C078E8">
              <w:rPr>
                <w:rFonts w:ascii="Aptos" w:hAnsi="Aptos"/>
                <w:b/>
                <w:bCs/>
                <w:sz w:val="24"/>
                <w:szCs w:val="24"/>
              </w:rPr>
              <w:t xml:space="preserve">Comment </w:t>
            </w:r>
          </w:p>
        </w:tc>
      </w:tr>
      <w:tr w:rsidR="00E6331E" w:rsidRPr="00AB4BD6" w14:paraId="2ECDE18D" w14:textId="77777777" w:rsidTr="00B47B34">
        <w:trPr>
          <w:trHeight w:val="1837"/>
        </w:trPr>
        <w:tc>
          <w:tcPr>
            <w:tcW w:w="2122" w:type="dxa"/>
          </w:tcPr>
          <w:p w14:paraId="0F6161F7" w14:textId="3ADC37CF" w:rsidR="00E6331E" w:rsidRPr="00AB4BD6" w:rsidRDefault="005E7975" w:rsidP="00510E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RR/2025/2187/LDE</w:t>
            </w:r>
          </w:p>
        </w:tc>
        <w:tc>
          <w:tcPr>
            <w:tcW w:w="1842" w:type="dxa"/>
          </w:tcPr>
          <w:p w14:paraId="25F8090A" w14:textId="5DB2FD0A" w:rsidR="00E6331E" w:rsidRPr="00AB4BD6" w:rsidRDefault="00EF53B5" w:rsidP="00510ED2">
            <w:pPr>
              <w:rPr>
                <w:rFonts w:ascii="Aptos" w:hAnsi="Aptos" w:cs="Segoe UI"/>
                <w:color w:val="212529"/>
                <w:sz w:val="24"/>
                <w:szCs w:val="24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Telegraph Point, COLDHARBOUR FARM Battle Road, Dallington, Heathfield, East Sussex, TN21 9LQ</w:t>
            </w:r>
          </w:p>
        </w:tc>
        <w:tc>
          <w:tcPr>
            <w:tcW w:w="2268" w:type="dxa"/>
          </w:tcPr>
          <w:p w14:paraId="377F82F9" w14:textId="6EC024D1" w:rsidR="00E6331E" w:rsidRPr="00AB4BD6" w:rsidRDefault="00BF58BF" w:rsidP="009177D4">
            <w:pPr>
              <w:rPr>
                <w:rFonts w:ascii="Aptos" w:hAnsi="Aptos" w:cs="Segoe UI"/>
                <w:color w:val="212529"/>
                <w:sz w:val="24"/>
                <w:szCs w:val="24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Certificate of lawfulness for the existing use of static home (fixed to the ground) as a dwelling house</w:t>
            </w:r>
          </w:p>
        </w:tc>
        <w:tc>
          <w:tcPr>
            <w:tcW w:w="1843" w:type="dxa"/>
          </w:tcPr>
          <w:p w14:paraId="31D06918" w14:textId="54A9808F" w:rsidR="00E6331E" w:rsidRPr="00AB4BD6" w:rsidRDefault="005E7975" w:rsidP="00510E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Pending </w:t>
            </w:r>
            <w:r w:rsidR="00BF58BF">
              <w:rPr>
                <w:rFonts w:ascii="Aptos" w:hAnsi="Aptos"/>
                <w:sz w:val="24"/>
                <w:szCs w:val="24"/>
              </w:rPr>
              <w:t>consideration</w:t>
            </w:r>
          </w:p>
        </w:tc>
        <w:tc>
          <w:tcPr>
            <w:tcW w:w="7315" w:type="dxa"/>
          </w:tcPr>
          <w:p w14:paraId="235C8102" w14:textId="09C5D5CF" w:rsidR="00E6331E" w:rsidRPr="00AB4BD6" w:rsidRDefault="00B1576B" w:rsidP="00510ED2">
            <w:pPr>
              <w:rPr>
                <w:rFonts w:ascii="Aptos" w:hAnsi="Aptos"/>
                <w:sz w:val="24"/>
                <w:szCs w:val="24"/>
              </w:rPr>
            </w:pPr>
            <w:r w:rsidRPr="00B1576B">
              <w:rPr>
                <w:rFonts w:ascii="Aptos" w:hAnsi="Aptos"/>
                <w:sz w:val="24"/>
                <w:szCs w:val="24"/>
              </w:rPr>
              <w:t xml:space="preserve">Brightling Parish Council objects to this application.  As cited in response to previous applications, this unit, together with the area of patio and decking, </w:t>
            </w:r>
            <w:proofErr w:type="gramStart"/>
            <w:r w:rsidRPr="00B1576B">
              <w:rPr>
                <w:rFonts w:ascii="Aptos" w:hAnsi="Aptos"/>
                <w:sz w:val="24"/>
                <w:szCs w:val="24"/>
              </w:rPr>
              <w:t>are  incongruous</w:t>
            </w:r>
            <w:proofErr w:type="gramEnd"/>
            <w:r w:rsidRPr="00B1576B">
              <w:rPr>
                <w:rFonts w:ascii="Aptos" w:hAnsi="Aptos"/>
                <w:sz w:val="24"/>
                <w:szCs w:val="24"/>
              </w:rPr>
              <w:t xml:space="preserve"> in terms of size, design, materials and position within the AONB.  Furthermore, the pattern of change of application between residential and business use indicates a deliberate attempt to circumvent the planning rules. Earlier enforcement orders should be upheld.</w:t>
            </w:r>
          </w:p>
        </w:tc>
      </w:tr>
      <w:tr w:rsidR="00EF53B5" w:rsidRPr="00AB4BD6" w14:paraId="613EF2D8" w14:textId="77777777" w:rsidTr="00B47B34">
        <w:trPr>
          <w:trHeight w:val="1837"/>
        </w:trPr>
        <w:tc>
          <w:tcPr>
            <w:tcW w:w="2122" w:type="dxa"/>
          </w:tcPr>
          <w:p w14:paraId="1186A051" w14:textId="41A40EE8" w:rsidR="00EF53B5" w:rsidRDefault="00B47B34" w:rsidP="00510ED2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B47B34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RR/2025/1999/HOU</w:t>
            </w:r>
            <w:r w:rsidRPr="00B47B34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842" w:type="dxa"/>
          </w:tcPr>
          <w:p w14:paraId="74C0F4F3" w14:textId="2B182A06" w:rsidR="00EF53B5" w:rsidRDefault="00427A5C" w:rsidP="00510ED2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427A5C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OLD STABLES Rectory Hill, Brightling, Robertsbridge, East Sussex, TN32 5HE</w:t>
            </w:r>
          </w:p>
        </w:tc>
        <w:tc>
          <w:tcPr>
            <w:tcW w:w="2268" w:type="dxa"/>
          </w:tcPr>
          <w:p w14:paraId="298210F4" w14:textId="2E8BDAD0" w:rsidR="00EF53B5" w:rsidRDefault="00C16560" w:rsidP="009177D4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C16560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Proposed first floor extension over an attached garage to form a dressing room and en-suite for the master bedroom.</w:t>
            </w:r>
          </w:p>
        </w:tc>
        <w:tc>
          <w:tcPr>
            <w:tcW w:w="1843" w:type="dxa"/>
          </w:tcPr>
          <w:p w14:paraId="7DD13216" w14:textId="2B612610" w:rsidR="00EF53B5" w:rsidRDefault="00427A5C" w:rsidP="00510E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Approved with conditions</w:t>
            </w:r>
          </w:p>
        </w:tc>
        <w:tc>
          <w:tcPr>
            <w:tcW w:w="7315" w:type="dxa"/>
          </w:tcPr>
          <w:p w14:paraId="5D7B60D7" w14:textId="77777777" w:rsidR="00EF53B5" w:rsidRDefault="00EF53B5" w:rsidP="00510ED2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</w:p>
        </w:tc>
      </w:tr>
      <w:tr w:rsidR="00844216" w:rsidRPr="00AB4BD6" w14:paraId="1335E1CA" w14:textId="77777777" w:rsidTr="00B47B34">
        <w:trPr>
          <w:trHeight w:val="1837"/>
        </w:trPr>
        <w:tc>
          <w:tcPr>
            <w:tcW w:w="2122" w:type="dxa"/>
          </w:tcPr>
          <w:p w14:paraId="4BE7978A" w14:textId="2F304C1D" w:rsidR="00844216" w:rsidRPr="00B47B34" w:rsidRDefault="00806BC6" w:rsidP="00510ED2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806BC6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RR/2025/2014/HOU</w:t>
            </w:r>
          </w:p>
        </w:tc>
        <w:tc>
          <w:tcPr>
            <w:tcW w:w="1842" w:type="dxa"/>
          </w:tcPr>
          <w:p w14:paraId="0EAD6BAB" w14:textId="17B3C548" w:rsidR="00844216" w:rsidRPr="00427A5C" w:rsidRDefault="001F6DE7" w:rsidP="00510ED2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1F6DE7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2, PARK VIEW Rectory Hill, Brightling, Robertsbridge, East Sussex, TN32 5HE</w:t>
            </w:r>
          </w:p>
        </w:tc>
        <w:tc>
          <w:tcPr>
            <w:tcW w:w="2268" w:type="dxa"/>
          </w:tcPr>
          <w:p w14:paraId="2E082D21" w14:textId="55B96D53" w:rsidR="00844216" w:rsidRPr="00C16560" w:rsidRDefault="001F6DE7" w:rsidP="009177D4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1F6DE7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Proposed single storey rear extension including internal alterations.</w:t>
            </w:r>
          </w:p>
        </w:tc>
        <w:tc>
          <w:tcPr>
            <w:tcW w:w="1843" w:type="dxa"/>
          </w:tcPr>
          <w:p w14:paraId="0AB812B3" w14:textId="370823FC" w:rsidR="00844216" w:rsidRDefault="00C07B44" w:rsidP="00510E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Pending consideration</w:t>
            </w:r>
          </w:p>
        </w:tc>
        <w:tc>
          <w:tcPr>
            <w:tcW w:w="7315" w:type="dxa"/>
          </w:tcPr>
          <w:p w14:paraId="3D102200" w14:textId="3A64BB7A" w:rsidR="0037506D" w:rsidRPr="0037506D" w:rsidRDefault="0037506D" w:rsidP="0037506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Brightling Parish Council has considered this application and wishes to make the following</w:t>
            </w:r>
            <w:r w:rsidR="00820EA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comments. External lighting / dark skies: No external lighting should be permitted, in line with</w:t>
            </w:r>
            <w:r w:rsidR="00820EA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Brightling Parish Council’s Dark Skies Policy and Rother District Council Core Strategy policy</w:t>
            </w:r>
          </w:p>
          <w:p w14:paraId="6D68132F" w14:textId="3D505919" w:rsidR="0037506D" w:rsidRPr="0037506D" w:rsidRDefault="0037506D" w:rsidP="0037506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EN1 (Landscape), which seeks to protect scenic beauty, tranquillity and dark skies, and policy</w:t>
            </w:r>
            <w:r w:rsidR="00820EA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EN3 (Design Quality), which safeguards local amenity. Emerging Local Plan policies relating to</w:t>
            </w:r>
            <w:r w:rsidR="00820EA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Landscape Character and Dark Skies provide additional support for this approach. Skylights</w:t>
            </w:r>
            <w:r w:rsidR="00820EA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and light spill: The Parish Council is concerned that rooflights/skylights have the potential to</w:t>
            </w:r>
          </w:p>
          <w:p w14:paraId="0DF2BDBD" w14:textId="6DC49039" w:rsidR="0037506D" w:rsidRPr="0037506D" w:rsidRDefault="0037506D" w:rsidP="0037506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generate upward light spill which, in some circumstances, can be more visually intrusive to the</w:t>
            </w:r>
            <w:r w:rsidR="00820EA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night sky than conventional external lighting. </w:t>
            </w:r>
            <w:proofErr w:type="gramStart"/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In order to</w:t>
            </w:r>
            <w:proofErr w:type="gramEnd"/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safeguard the dark skies of this sensitive</w:t>
            </w:r>
            <w:r w:rsidR="00820EA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rural area, the Parish Council requests that, should planning permission be granted, RDC</w:t>
            </w:r>
          </w:p>
          <w:p w14:paraId="52B209FC" w14:textId="56FA24F2" w:rsidR="00844216" w:rsidRPr="0037506D" w:rsidRDefault="0037506D" w:rsidP="0037506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imposes a condition requiring the submission and approval of details of appropriate light</w:t>
            </w:r>
            <w:r w:rsidR="00820EA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mitigating measures (such as blinds or equivalent controls) prior to the installation of the</w:t>
            </w:r>
            <w:r w:rsidR="00820EA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37506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skylights, and that such measures are thereafter retained in use.</w:t>
            </w:r>
          </w:p>
        </w:tc>
      </w:tr>
      <w:tr w:rsidR="00C07B44" w:rsidRPr="00AB4BD6" w14:paraId="5AF6BDDB" w14:textId="77777777" w:rsidTr="00B47B34">
        <w:trPr>
          <w:trHeight w:val="1837"/>
        </w:trPr>
        <w:tc>
          <w:tcPr>
            <w:tcW w:w="2122" w:type="dxa"/>
          </w:tcPr>
          <w:p w14:paraId="6D8542D7" w14:textId="6285856A" w:rsidR="00C07B44" w:rsidRPr="00806BC6" w:rsidRDefault="00B0751A" w:rsidP="00510ED2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B0751A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lastRenderedPageBreak/>
              <w:t>RR/2025/951/O</w:t>
            </w:r>
            <w:r w:rsidRPr="00B0751A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ab/>
            </w:r>
            <w:r w:rsidRPr="00B0751A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ab/>
            </w:r>
            <w:r w:rsidRPr="00B0751A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842" w:type="dxa"/>
          </w:tcPr>
          <w:p w14:paraId="2C62359B" w14:textId="0B47D9BA" w:rsidR="00C07B44" w:rsidRPr="001F6DE7" w:rsidRDefault="00B0751A" w:rsidP="00510ED2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B0751A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COLDHARBOUR </w:t>
            </w:r>
            <w:proofErr w:type="gramStart"/>
            <w:r w:rsidRPr="00B0751A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FARM HOUSE</w:t>
            </w:r>
            <w:proofErr w:type="gramEnd"/>
            <w:r w:rsidRPr="00B0751A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 Battle Road, Dallington, Heathfield, East Sussex, TN21 9LQ</w:t>
            </w:r>
          </w:p>
        </w:tc>
        <w:tc>
          <w:tcPr>
            <w:tcW w:w="2268" w:type="dxa"/>
          </w:tcPr>
          <w:p w14:paraId="4EAF584B" w14:textId="3712AD0C" w:rsidR="00C07B44" w:rsidRPr="001F6DE7" w:rsidRDefault="00B0751A" w:rsidP="009177D4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B0751A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Certificate of lawfulness for existing use of the southern area of land, and two buildings within the land, for ancillary residential purposes.</w:t>
            </w:r>
            <w:r w:rsidRPr="00B0751A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843" w:type="dxa"/>
          </w:tcPr>
          <w:p w14:paraId="37DB1F0C" w14:textId="1E275250" w:rsidR="00C07B44" w:rsidRDefault="00B8532B" w:rsidP="00510E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Lawful development certificate refused</w:t>
            </w:r>
          </w:p>
        </w:tc>
        <w:tc>
          <w:tcPr>
            <w:tcW w:w="7315" w:type="dxa"/>
          </w:tcPr>
          <w:p w14:paraId="6C42D51E" w14:textId="77777777" w:rsidR="00C07B44" w:rsidRPr="0037506D" w:rsidRDefault="00C07B44" w:rsidP="0037506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</w:p>
        </w:tc>
      </w:tr>
      <w:tr w:rsidR="00EF7202" w:rsidRPr="00AB4BD6" w14:paraId="7939FE23" w14:textId="77777777" w:rsidTr="00B47B34">
        <w:trPr>
          <w:trHeight w:val="1837"/>
        </w:trPr>
        <w:tc>
          <w:tcPr>
            <w:tcW w:w="2122" w:type="dxa"/>
          </w:tcPr>
          <w:p w14:paraId="48BE1183" w14:textId="79B9A86D" w:rsidR="00EF7202" w:rsidRPr="00B0751A" w:rsidRDefault="00672FEF" w:rsidP="00510ED2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672FEF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RR/2025/1172/P</w:t>
            </w:r>
          </w:p>
        </w:tc>
        <w:tc>
          <w:tcPr>
            <w:tcW w:w="1842" w:type="dxa"/>
          </w:tcPr>
          <w:p w14:paraId="3EB2A61B" w14:textId="24F4759A" w:rsidR="00EF7202" w:rsidRPr="00B0751A" w:rsidRDefault="00672FEF" w:rsidP="00510ED2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672FEF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BROWNS OAK COTTAGE Brickyard Lane, </w:t>
            </w:r>
            <w:proofErr w:type="spellStart"/>
            <w:r w:rsidRPr="00672FEF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Oxleys</w:t>
            </w:r>
            <w:proofErr w:type="spellEnd"/>
            <w:r w:rsidRPr="00672FEF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 Green, Brightling, Etchingham, East Sussex, TN19 7DL</w:t>
            </w:r>
          </w:p>
        </w:tc>
        <w:tc>
          <w:tcPr>
            <w:tcW w:w="2268" w:type="dxa"/>
          </w:tcPr>
          <w:p w14:paraId="669B39A4" w14:textId="7B7C6FB3" w:rsidR="00EF7202" w:rsidRPr="00B0751A" w:rsidRDefault="00EF7202" w:rsidP="009177D4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EF7202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Proposed riding arena for private use only with access track to the paddocks plus associated new and improved entrance to Browns Oak Cottage and biodiversity enhancements.</w:t>
            </w:r>
          </w:p>
        </w:tc>
        <w:tc>
          <w:tcPr>
            <w:tcW w:w="1843" w:type="dxa"/>
          </w:tcPr>
          <w:p w14:paraId="6BFF2EA1" w14:textId="56D4590F" w:rsidR="00EF7202" w:rsidRDefault="00EF7202" w:rsidP="00510E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Withdrawn</w:t>
            </w:r>
          </w:p>
        </w:tc>
        <w:tc>
          <w:tcPr>
            <w:tcW w:w="7315" w:type="dxa"/>
          </w:tcPr>
          <w:p w14:paraId="37ACBF77" w14:textId="77777777" w:rsidR="00EF7202" w:rsidRPr="0037506D" w:rsidRDefault="00EF7202" w:rsidP="0037506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</w:p>
        </w:tc>
      </w:tr>
      <w:tr w:rsidR="003E443C" w:rsidRPr="00AB4BD6" w14:paraId="447F0902" w14:textId="77777777" w:rsidTr="00B47B34">
        <w:trPr>
          <w:trHeight w:val="1837"/>
        </w:trPr>
        <w:tc>
          <w:tcPr>
            <w:tcW w:w="2122" w:type="dxa"/>
          </w:tcPr>
          <w:p w14:paraId="0B3748BE" w14:textId="502EB5BF" w:rsidR="003E443C" w:rsidRPr="00672FEF" w:rsidRDefault="003E443C" w:rsidP="00510ED2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3E443C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RR/2025/1042/P</w:t>
            </w:r>
          </w:p>
        </w:tc>
        <w:tc>
          <w:tcPr>
            <w:tcW w:w="1842" w:type="dxa"/>
          </w:tcPr>
          <w:p w14:paraId="62EE64E8" w14:textId="10123967" w:rsidR="003E443C" w:rsidRPr="00672FEF" w:rsidRDefault="00E21830" w:rsidP="00510ED2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E21830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LAKE COTTAGE MANOR FARM Brightling Road, Robertsbridge, East Sussex, TN32 5HB</w:t>
            </w:r>
          </w:p>
        </w:tc>
        <w:tc>
          <w:tcPr>
            <w:tcW w:w="2268" w:type="dxa"/>
          </w:tcPr>
          <w:p w14:paraId="6EA207D9" w14:textId="0BE46924" w:rsidR="003E443C" w:rsidRPr="00EF7202" w:rsidRDefault="00E21830" w:rsidP="009177D4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 w:rsidRPr="00E21830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Proposed detached garage</w:t>
            </w:r>
          </w:p>
        </w:tc>
        <w:tc>
          <w:tcPr>
            <w:tcW w:w="1843" w:type="dxa"/>
          </w:tcPr>
          <w:p w14:paraId="5913FB6E" w14:textId="08596615" w:rsidR="003E443C" w:rsidRDefault="006D568F" w:rsidP="00510E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Approved with conditions</w:t>
            </w:r>
          </w:p>
        </w:tc>
        <w:tc>
          <w:tcPr>
            <w:tcW w:w="7315" w:type="dxa"/>
          </w:tcPr>
          <w:p w14:paraId="6080C9B4" w14:textId="77777777" w:rsidR="009A1ABD" w:rsidRPr="009A1ABD" w:rsidRDefault="009A1ABD" w:rsidP="009A1AB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Brightling Parish Council objects to this application on the following grounds:</w:t>
            </w:r>
          </w:p>
          <w:p w14:paraId="47C6E69E" w14:textId="77777777" w:rsidR="009A1ABD" w:rsidRPr="009A1ABD" w:rsidRDefault="009A1ABD" w:rsidP="009A1AB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1. Cumulative Impact and Over-Development in an AONB:</w:t>
            </w:r>
          </w:p>
          <w:p w14:paraId="6FB9E2B6" w14:textId="540982EA" w:rsidR="009A1ABD" w:rsidRPr="009A1ABD" w:rsidRDefault="009A1ABD" w:rsidP="009A1AB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The proposed garage reintroduces built form that was specifically removed during the</w:t>
            </w:r>
            <w:r w:rsidR="00896B97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planning process for the replacement dwelling (RR/2023/2077/P) due to concerns about</w:t>
            </w:r>
            <w:r w:rsidR="00896B97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scale, landscape impact, and over-development within the High Weald Area of Outstanding</w:t>
            </w:r>
            <w:r w:rsidR="00896B97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Natural Beauty (AONB). The reintroduction of this structure undermines the negotiated</w:t>
            </w:r>
            <w:r w:rsidR="00896B97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balance that led to the earlier approval. The visual prominence and cumulative massing of</w:t>
            </w:r>
            <w:r w:rsidR="00896B97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the dwelling and garage together would constitute over-development, conflicting with the</w:t>
            </w:r>
            <w:r w:rsidR="00896B97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aims of AONB protection and the High Weald Management Plan. It is also noted that two</w:t>
            </w:r>
            <w:r w:rsidR="00896B97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large Scots Pine trees are located within the curtilage of the property; these would likely be</w:t>
            </w:r>
          </w:p>
          <w:p w14:paraId="02FF9D2A" w14:textId="7BEDBF23" w:rsidR="009A1ABD" w:rsidRPr="009A1ABD" w:rsidRDefault="009A1ABD" w:rsidP="009A1AB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impacted by the additional development and do not appear to be properly accounted for on</w:t>
            </w:r>
            <w:r w:rsidR="00896B97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the site plan.</w:t>
            </w:r>
          </w:p>
          <w:p w14:paraId="233D0B8F" w14:textId="77777777" w:rsidR="009A1ABD" w:rsidRPr="009A1ABD" w:rsidRDefault="009A1ABD" w:rsidP="009A1AB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2. Contrary to Local Character and Vernacular:</w:t>
            </w:r>
          </w:p>
          <w:p w14:paraId="79430761" w14:textId="08AC15F3" w:rsidR="009A1ABD" w:rsidRPr="009A1ABD" w:rsidRDefault="009A1ABD" w:rsidP="009A1AB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Although the materials proposed for the garage are consistent with those approved for the</w:t>
            </w:r>
            <w:r w:rsidR="009F3480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main dwelling, the addition of further built form risks altering the open and traditional rural</w:t>
            </w:r>
            <w:r w:rsidR="009F3480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character of the site. The combined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lastRenderedPageBreak/>
              <w:t>effect of the house and garage would erode the setting's</w:t>
            </w:r>
            <w:r w:rsidR="009F3480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contribution to local character and views, contrary to policies that seek to preserve and</w:t>
            </w:r>
          </w:p>
          <w:p w14:paraId="1B7EFA4B" w14:textId="77777777" w:rsidR="009A1ABD" w:rsidRPr="009A1ABD" w:rsidRDefault="009A1ABD" w:rsidP="009A1AB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enhance the distinctive landscape and vernacular of the High Weald.</w:t>
            </w:r>
          </w:p>
          <w:p w14:paraId="7154D201" w14:textId="77777777" w:rsidR="009A1ABD" w:rsidRPr="009A1ABD" w:rsidRDefault="009A1ABD" w:rsidP="009A1AB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3. Precedent and Planning Integrity:</w:t>
            </w:r>
          </w:p>
          <w:p w14:paraId="713829C9" w14:textId="64F46D40" w:rsidR="009A1ABD" w:rsidRPr="009A1ABD" w:rsidRDefault="009A1ABD" w:rsidP="009A1AB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The original application included a garage, which was removed during the determination</w:t>
            </w:r>
            <w:r w:rsidR="009F3480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process. Rother District Council's case officer report explicitly noted that "the previously</w:t>
            </w:r>
            <w:r w:rsidR="009F3480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proposed garage [was] removed" as part of the mitigation of harm to the AONB. To now</w:t>
            </w:r>
            <w:r w:rsidR="008A34D0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 xml:space="preserve"> </w:t>
            </w: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reintroduce this element via a separate application raises concerns about the integrity of the</w:t>
            </w:r>
          </w:p>
          <w:p w14:paraId="6EA17E81" w14:textId="12A80799" w:rsidR="003E443C" w:rsidRPr="0037506D" w:rsidRDefault="009A1ABD" w:rsidP="009A1AB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</w:pPr>
            <w:r w:rsidRPr="009A1ABD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ECF3F8"/>
              </w:rPr>
              <w:t>original approval and may be perceived as an attempt to circumvent prior planning controls.</w:t>
            </w:r>
          </w:p>
        </w:tc>
      </w:tr>
    </w:tbl>
    <w:p w14:paraId="43E59658" w14:textId="77777777" w:rsidR="001558FD" w:rsidRPr="00AB4BD6" w:rsidRDefault="001558FD">
      <w:pPr>
        <w:rPr>
          <w:rFonts w:ascii="Aptos" w:hAnsi="Aptos"/>
        </w:rPr>
      </w:pPr>
    </w:p>
    <w:sectPr w:rsidR="001558FD" w:rsidRPr="00AB4BD6" w:rsidSect="00613534">
      <w:pgSz w:w="16840" w:h="11900" w:orient="landscape"/>
      <w:pgMar w:top="720" w:right="720" w:bottom="720" w:left="720" w:header="425" w:footer="10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FD"/>
    <w:rsid w:val="00002976"/>
    <w:rsid w:val="00003C30"/>
    <w:rsid w:val="00045AF9"/>
    <w:rsid w:val="00045F04"/>
    <w:rsid w:val="000B4D68"/>
    <w:rsid w:val="000E3F2E"/>
    <w:rsid w:val="000F410E"/>
    <w:rsid w:val="00153D3C"/>
    <w:rsid w:val="001558FD"/>
    <w:rsid w:val="00171A6C"/>
    <w:rsid w:val="00193125"/>
    <w:rsid w:val="001A7714"/>
    <w:rsid w:val="001C1466"/>
    <w:rsid w:val="001C6550"/>
    <w:rsid w:val="001D3F71"/>
    <w:rsid w:val="001F678C"/>
    <w:rsid w:val="001F6DE7"/>
    <w:rsid w:val="00202094"/>
    <w:rsid w:val="002069B2"/>
    <w:rsid w:val="00217536"/>
    <w:rsid w:val="00234FCF"/>
    <w:rsid w:val="00235594"/>
    <w:rsid w:val="00237D5F"/>
    <w:rsid w:val="0025264E"/>
    <w:rsid w:val="00257334"/>
    <w:rsid w:val="00284201"/>
    <w:rsid w:val="00284C13"/>
    <w:rsid w:val="002A1B55"/>
    <w:rsid w:val="002A5E54"/>
    <w:rsid w:val="002B0B85"/>
    <w:rsid w:val="002D0030"/>
    <w:rsid w:val="003012DA"/>
    <w:rsid w:val="003419CB"/>
    <w:rsid w:val="00353AD8"/>
    <w:rsid w:val="00354286"/>
    <w:rsid w:val="0037506D"/>
    <w:rsid w:val="00382D96"/>
    <w:rsid w:val="00385647"/>
    <w:rsid w:val="003A4B21"/>
    <w:rsid w:val="003A6D57"/>
    <w:rsid w:val="003E3E18"/>
    <w:rsid w:val="003E443C"/>
    <w:rsid w:val="003F767D"/>
    <w:rsid w:val="00406428"/>
    <w:rsid w:val="00410D32"/>
    <w:rsid w:val="00427A5C"/>
    <w:rsid w:val="004D2AFB"/>
    <w:rsid w:val="004E1850"/>
    <w:rsid w:val="004E23F5"/>
    <w:rsid w:val="005078C7"/>
    <w:rsid w:val="00510ED2"/>
    <w:rsid w:val="00511D97"/>
    <w:rsid w:val="00560228"/>
    <w:rsid w:val="00585C3C"/>
    <w:rsid w:val="005A062F"/>
    <w:rsid w:val="005E7975"/>
    <w:rsid w:val="00613534"/>
    <w:rsid w:val="006257B9"/>
    <w:rsid w:val="00651795"/>
    <w:rsid w:val="00672FEF"/>
    <w:rsid w:val="00683EB2"/>
    <w:rsid w:val="006A0025"/>
    <w:rsid w:val="006D568F"/>
    <w:rsid w:val="006F2FC2"/>
    <w:rsid w:val="00725889"/>
    <w:rsid w:val="00733AC8"/>
    <w:rsid w:val="007340B4"/>
    <w:rsid w:val="00736A09"/>
    <w:rsid w:val="00780F01"/>
    <w:rsid w:val="00790964"/>
    <w:rsid w:val="007B16FA"/>
    <w:rsid w:val="007B7974"/>
    <w:rsid w:val="007C4E29"/>
    <w:rsid w:val="00806BC6"/>
    <w:rsid w:val="00806D38"/>
    <w:rsid w:val="00820EAF"/>
    <w:rsid w:val="00821D36"/>
    <w:rsid w:val="00837E9F"/>
    <w:rsid w:val="00844216"/>
    <w:rsid w:val="0084577B"/>
    <w:rsid w:val="00845F38"/>
    <w:rsid w:val="00857734"/>
    <w:rsid w:val="00865EDF"/>
    <w:rsid w:val="00896B97"/>
    <w:rsid w:val="008A06D7"/>
    <w:rsid w:val="008A34D0"/>
    <w:rsid w:val="008C285C"/>
    <w:rsid w:val="008F68B2"/>
    <w:rsid w:val="00916053"/>
    <w:rsid w:val="009177D4"/>
    <w:rsid w:val="0092163E"/>
    <w:rsid w:val="00922FC2"/>
    <w:rsid w:val="00926706"/>
    <w:rsid w:val="00944121"/>
    <w:rsid w:val="00983203"/>
    <w:rsid w:val="009A1ABD"/>
    <w:rsid w:val="009C77B9"/>
    <w:rsid w:val="009E376C"/>
    <w:rsid w:val="009F3480"/>
    <w:rsid w:val="00A03FA7"/>
    <w:rsid w:val="00A61CC4"/>
    <w:rsid w:val="00A632F6"/>
    <w:rsid w:val="00A72EB2"/>
    <w:rsid w:val="00AB1994"/>
    <w:rsid w:val="00AB4BD6"/>
    <w:rsid w:val="00AB6DCE"/>
    <w:rsid w:val="00AC5B97"/>
    <w:rsid w:val="00AD10C6"/>
    <w:rsid w:val="00AD7368"/>
    <w:rsid w:val="00B0400C"/>
    <w:rsid w:val="00B0751A"/>
    <w:rsid w:val="00B1576B"/>
    <w:rsid w:val="00B47B34"/>
    <w:rsid w:val="00B64743"/>
    <w:rsid w:val="00B8532B"/>
    <w:rsid w:val="00BE3D19"/>
    <w:rsid w:val="00BF58BF"/>
    <w:rsid w:val="00BF7491"/>
    <w:rsid w:val="00C078E8"/>
    <w:rsid w:val="00C07B44"/>
    <w:rsid w:val="00C16560"/>
    <w:rsid w:val="00C406B9"/>
    <w:rsid w:val="00C6171A"/>
    <w:rsid w:val="00C94BAF"/>
    <w:rsid w:val="00CC41D3"/>
    <w:rsid w:val="00D01001"/>
    <w:rsid w:val="00D14E23"/>
    <w:rsid w:val="00D2518B"/>
    <w:rsid w:val="00D30DFD"/>
    <w:rsid w:val="00D34EA8"/>
    <w:rsid w:val="00D60335"/>
    <w:rsid w:val="00DD4B57"/>
    <w:rsid w:val="00DD5413"/>
    <w:rsid w:val="00DF4CF0"/>
    <w:rsid w:val="00DF74C5"/>
    <w:rsid w:val="00E13B7A"/>
    <w:rsid w:val="00E21830"/>
    <w:rsid w:val="00E34F53"/>
    <w:rsid w:val="00E6331E"/>
    <w:rsid w:val="00E75D5A"/>
    <w:rsid w:val="00EB3E03"/>
    <w:rsid w:val="00EF53B5"/>
    <w:rsid w:val="00EF7202"/>
    <w:rsid w:val="00F4081B"/>
    <w:rsid w:val="00F642BF"/>
    <w:rsid w:val="00F6745D"/>
    <w:rsid w:val="00F80400"/>
    <w:rsid w:val="00FA2684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43AB"/>
  <w15:chartTrackingRefBased/>
  <w15:docId w15:val="{EB3836B4-D792-4630-821E-0C3B2675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8FD"/>
  </w:style>
  <w:style w:type="table" w:styleId="TableGrid">
    <w:name w:val="Table Grid"/>
    <w:basedOn w:val="TableNormal"/>
    <w:uiPriority w:val="39"/>
    <w:rsid w:val="0015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727</Words>
  <Characters>4303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Gilly Lowe</dc:creator>
  <cp:keywords/>
  <dc:description/>
  <cp:lastModifiedBy>Brightling Clerk</cp:lastModifiedBy>
  <cp:revision>49</cp:revision>
  <cp:lastPrinted>2026-04-08T09:00:00Z</cp:lastPrinted>
  <dcterms:created xsi:type="dcterms:W3CDTF">2026-04-07T20:43:00Z</dcterms:created>
  <dcterms:modified xsi:type="dcterms:W3CDTF">2026-04-08T09:00:00Z</dcterms:modified>
</cp:coreProperties>
</file>